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555" w:lineRule="atLeast"/>
      </w:pPr>
      <w:r>
        <w:rPr>
          <w:rFonts w:hint="eastAsia" w:ascii="宋体" w:hAnsi="宋体" w:eastAsia="宋体" w:cs="宋体"/>
          <w:sz w:val="31"/>
          <w:szCs w:val="31"/>
        </w:rPr>
        <w:t>附件1：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jc w:val="center"/>
      </w:pPr>
      <w:r>
        <w:rPr>
          <w:rStyle w:val="5"/>
          <w:rFonts w:hint="eastAsia" w:ascii="宋体" w:hAnsi="宋体" w:eastAsia="宋体" w:cs="宋体"/>
          <w:b/>
          <w:bCs/>
          <w:sz w:val="31"/>
          <w:szCs w:val="31"/>
        </w:rPr>
        <w:t>三峡大学科技学院2022年普通专升本补录招生专业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jc w:val="center"/>
      </w:pPr>
      <w:r>
        <w:rPr>
          <w:rStyle w:val="5"/>
          <w:rFonts w:hint="eastAsia" w:ascii="宋体" w:hAnsi="宋体" w:eastAsia="宋体" w:cs="宋体"/>
          <w:b/>
          <w:bCs/>
          <w:sz w:val="31"/>
          <w:szCs w:val="31"/>
        </w:rPr>
        <w:t>对高职（专科）专业的报考范围要求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15"/>
        <w:gridCol w:w="53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3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ascii="仿宋" w:hAnsi="仿宋" w:eastAsia="仿宋" w:cs="仿宋"/>
                <w:sz w:val="28"/>
                <w:szCs w:val="28"/>
                <w:bdr w:val="none" w:color="auto" w:sz="0" w:space="0"/>
              </w:rPr>
              <w:t>本科招生专业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对应高职（专科）专业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机械设计制造及自动化</w:t>
            </w:r>
          </w:p>
        </w:tc>
        <w:tc>
          <w:tcPr>
            <w:tcW w:w="3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与本科专业相同或相近专业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电气工程及其自动化</w:t>
            </w:r>
          </w:p>
        </w:tc>
        <w:tc>
          <w:tcPr>
            <w:tcW w:w="3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与本科专业相同或相近专业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5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计算机科学与技术</w:t>
            </w:r>
          </w:p>
        </w:tc>
        <w:tc>
          <w:tcPr>
            <w:tcW w:w="4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与本科专业相同或相近专业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7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土木工程</w:t>
            </w:r>
          </w:p>
        </w:tc>
        <w:tc>
          <w:tcPr>
            <w:tcW w:w="4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与本科专业相同或相近专业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水利水电工程</w:t>
            </w:r>
          </w:p>
        </w:tc>
        <w:tc>
          <w:tcPr>
            <w:tcW w:w="4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与本科专业相同或相近专业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21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临床医学</w:t>
            </w:r>
          </w:p>
        </w:tc>
        <w:tc>
          <w:tcPr>
            <w:tcW w:w="4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护理学</w:t>
            </w:r>
          </w:p>
        </w:tc>
        <w:tc>
          <w:tcPr>
            <w:tcW w:w="4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护理或助产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工程造价</w:t>
            </w:r>
          </w:p>
        </w:tc>
        <w:tc>
          <w:tcPr>
            <w:tcW w:w="5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与本科专业相同或相近专业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28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财务管理</w:t>
            </w:r>
          </w:p>
        </w:tc>
        <w:tc>
          <w:tcPr>
            <w:tcW w:w="5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与本科专业相同或相近专业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555" w:lineRule="atLeast"/>
      </w:pPr>
      <w:r>
        <w:rPr>
          <w:rFonts w:ascii="黑体" w:hAnsi="宋体" w:eastAsia="黑体" w:cs="黑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31"/>
          <w:szCs w:val="31"/>
        </w:rPr>
        <w:t>附件2：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jc w:val="center"/>
      </w:pPr>
      <w:r>
        <w:rPr>
          <w:rStyle w:val="5"/>
          <w:rFonts w:hint="eastAsia" w:ascii="宋体" w:hAnsi="宋体" w:eastAsia="宋体" w:cs="宋体"/>
          <w:b/>
          <w:bCs/>
          <w:sz w:val="31"/>
          <w:szCs w:val="31"/>
        </w:rPr>
        <w:t>考生资料上传要求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0"/>
        <w:gridCol w:w="1395"/>
        <w:gridCol w:w="2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材料名称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文件名格式范例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（序号+姓名+材料名称）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《2022年湖北省高校普通专升本补录报名申请表》考生本人签字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  <w:r>
              <w:rPr>
                <w:sz w:val="24"/>
                <w:szCs w:val="24"/>
                <w:bdr w:val="none" w:color="auto" w:sz="0" w:space="0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王XX</w:t>
            </w:r>
            <w:r>
              <w:rPr>
                <w:sz w:val="24"/>
                <w:szCs w:val="24"/>
                <w:bdr w:val="none" w:color="auto" w:sz="0" w:space="0"/>
              </w:rPr>
              <w:t>-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补录报名申请表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《教育部学历证书电子注册备案表》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  <w:r>
              <w:rPr>
                <w:sz w:val="24"/>
                <w:szCs w:val="24"/>
                <w:bdr w:val="none" w:color="auto" w:sz="0" w:space="0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王XX</w:t>
            </w:r>
            <w:r>
              <w:rPr>
                <w:sz w:val="24"/>
                <w:szCs w:val="24"/>
                <w:bdr w:val="none" w:color="auto" w:sz="0" w:space="0"/>
              </w:rPr>
              <w:t>-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学历证书电子注册备案表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普通全日制专科毕业证书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  <w:r>
              <w:rPr>
                <w:sz w:val="24"/>
                <w:szCs w:val="24"/>
                <w:bdr w:val="none" w:color="auto" w:sz="0" w:space="0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王XX</w:t>
            </w:r>
            <w:r>
              <w:rPr>
                <w:sz w:val="24"/>
                <w:szCs w:val="24"/>
                <w:bdr w:val="none" w:color="auto" w:sz="0" w:space="0"/>
              </w:rPr>
              <w:t>-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居民身份证（正面）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  <w:r>
              <w:rPr>
                <w:sz w:val="24"/>
                <w:szCs w:val="24"/>
                <w:bdr w:val="none" w:color="auto" w:sz="0" w:space="0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王XX</w:t>
            </w:r>
            <w:r>
              <w:rPr>
                <w:sz w:val="24"/>
                <w:szCs w:val="24"/>
                <w:bdr w:val="none" w:color="auto" w:sz="0" w:space="0"/>
              </w:rPr>
              <w:t>-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居民身份证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退出现役证明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sz w:val="24"/>
                <w:szCs w:val="24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王XX</w:t>
            </w:r>
            <w:r>
              <w:rPr>
                <w:sz w:val="24"/>
                <w:szCs w:val="24"/>
                <w:bdr w:val="none" w:color="auto" w:sz="0" w:space="0"/>
              </w:rPr>
              <w:t>-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退出现役证明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</w:p>
    <w:p>
      <w:pPr>
        <w:pStyle w:val="2"/>
        <w:keepNext w:val="0"/>
        <w:keepLines w:val="0"/>
        <w:widowControl/>
        <w:suppressLineNumbers w:val="0"/>
        <w:spacing w:line="555" w:lineRule="atLeast"/>
      </w:pPr>
      <w:r>
        <w:rPr>
          <w:rFonts w:hint="eastAsia" w:ascii="宋体" w:hAnsi="宋体" w:eastAsia="宋体" w:cs="宋体"/>
          <w:sz w:val="31"/>
          <w:szCs w:val="31"/>
        </w:rPr>
        <w:t>附件</w:t>
      </w:r>
      <w:r>
        <w:rPr>
          <w:sz w:val="31"/>
          <w:szCs w:val="31"/>
        </w:rPr>
        <w:t>3</w:t>
      </w:r>
      <w:r>
        <w:rPr>
          <w:rFonts w:hint="eastAsia" w:ascii="宋体" w:hAnsi="宋体" w:eastAsia="宋体" w:cs="宋体"/>
          <w:sz w:val="31"/>
          <w:szCs w:val="31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80" w:lineRule="atLeast"/>
        <w:jc w:val="center"/>
      </w:pPr>
      <w:r>
        <w:rPr>
          <w:rStyle w:val="5"/>
          <w:rFonts w:hint="eastAsia" w:ascii="宋体" w:hAnsi="宋体" w:eastAsia="宋体" w:cs="宋体"/>
          <w:b/>
          <w:bCs/>
          <w:sz w:val="31"/>
          <w:szCs w:val="31"/>
        </w:rPr>
        <w:t>三峡大学科技学院2022年普通专升本退役大学生士兵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80" w:lineRule="atLeast"/>
        <w:jc w:val="center"/>
      </w:pPr>
      <w:r>
        <w:rPr>
          <w:rStyle w:val="5"/>
          <w:rFonts w:hint="eastAsia" w:ascii="宋体" w:hAnsi="宋体" w:eastAsia="宋体" w:cs="宋体"/>
          <w:b/>
          <w:bCs/>
          <w:sz w:val="31"/>
          <w:szCs w:val="31"/>
        </w:rPr>
        <w:t>补录考查方案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</w:pPr>
      <w:r>
        <w:rPr>
          <w:rFonts w:hint="eastAsia" w:ascii="仿宋" w:hAnsi="仿宋" w:eastAsia="仿宋" w:cs="仿宋"/>
          <w:sz w:val="31"/>
          <w:szCs w:val="31"/>
        </w:rPr>
        <w:t>根据《三峡大学科技学院2022年普通专升本招生简章》规定和补录方案，符合我院专业报考要求和退役大学生士兵补录原则考生，补录人数超过补录计划数，学校组织退役大学生士兵补录考查工作，具体方案如下：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</w:pPr>
      <w:r>
        <w:rPr>
          <w:rFonts w:hint="eastAsia" w:ascii="仿宋" w:hAnsi="仿宋" w:eastAsia="仿宋" w:cs="仿宋"/>
          <w:sz w:val="31"/>
          <w:szCs w:val="31"/>
        </w:rPr>
        <w:t>一、考查形式：采取面试形式进行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</w:pPr>
      <w:r>
        <w:rPr>
          <w:rFonts w:hint="eastAsia" w:ascii="仿宋" w:hAnsi="仿宋" w:eastAsia="仿宋" w:cs="仿宋"/>
          <w:sz w:val="31"/>
          <w:szCs w:val="31"/>
        </w:rPr>
        <w:t>二、考查内容与方法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</w:pPr>
      <w:r>
        <w:rPr>
          <w:rFonts w:hint="eastAsia" w:ascii="仿宋" w:hAnsi="仿宋" w:eastAsia="仿宋" w:cs="仿宋"/>
          <w:sz w:val="31"/>
          <w:szCs w:val="31"/>
        </w:rPr>
        <w:t>考查内容包含“综合素质（50分）、专业认知（50分）两部分，满分100分。1.“综合素质”主要考查考生的政治理论、思想品德、心理素质、学习经历、沟通能力、语言理解与表达能力等方面；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</w:pPr>
      <w:r>
        <w:rPr>
          <w:rFonts w:hint="eastAsia" w:ascii="仿宋" w:hAnsi="仿宋" w:eastAsia="仿宋" w:cs="仿宋"/>
          <w:sz w:val="31"/>
          <w:szCs w:val="31"/>
        </w:rPr>
        <w:t>2.“专业认知”主要考查所报专业职业素养、职业常识、专业基础知识的掌握程度等方面。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</w:pPr>
      <w:r>
        <w:rPr>
          <w:rFonts w:hint="eastAsia" w:ascii="仿宋" w:hAnsi="仿宋" w:eastAsia="仿宋" w:cs="仿宋"/>
          <w:sz w:val="31"/>
          <w:szCs w:val="31"/>
        </w:rPr>
        <w:t>三、考查程序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</w:pPr>
      <w:r>
        <w:rPr>
          <w:rFonts w:hint="eastAsia" w:ascii="仿宋" w:hAnsi="仿宋" w:eastAsia="仿宋" w:cs="仿宋"/>
          <w:sz w:val="31"/>
          <w:szCs w:val="31"/>
        </w:rPr>
        <w:t>1.考查前30分钟考生凭身份证原件、准考证前往候考地点等候，考生不得携带通讯工具。（具体时间、地点另行通知）。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</w:pPr>
      <w:r>
        <w:rPr>
          <w:rFonts w:hint="eastAsia" w:ascii="仿宋" w:hAnsi="仿宋" w:eastAsia="仿宋" w:cs="仿宋"/>
          <w:sz w:val="31"/>
          <w:szCs w:val="31"/>
        </w:rPr>
        <w:t>2.考生签到、抽签确定面试顺序。抽签信息在面试结束前不得向任何人透露。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</w:pPr>
      <w:r>
        <w:rPr>
          <w:rFonts w:hint="eastAsia" w:ascii="仿宋" w:hAnsi="仿宋" w:eastAsia="仿宋" w:cs="仿宋"/>
          <w:sz w:val="31"/>
          <w:szCs w:val="31"/>
        </w:rPr>
        <w:t>3.专家组根据学校要求进行考查。考查按照个人陈述、专家组提问两个环节依次进行，时间20分钟。考生根据面试专家要求进行陈述。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</w:pPr>
      <w:r>
        <w:rPr>
          <w:rFonts w:hint="eastAsia" w:ascii="仿宋" w:hAnsi="仿宋" w:eastAsia="仿宋" w:cs="仿宋"/>
          <w:sz w:val="31"/>
          <w:szCs w:val="31"/>
        </w:rPr>
        <w:t>四、考生需提前做好疫情防控相关事项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firstLine="630"/>
      </w:pPr>
      <w:r>
        <w:rPr>
          <w:rFonts w:hint="eastAsia" w:ascii="仿宋" w:hAnsi="仿宋" w:eastAsia="仿宋" w:cs="仿宋"/>
          <w:sz w:val="31"/>
          <w:szCs w:val="31"/>
        </w:rPr>
        <w:t>考试期间严格执行湖北省和宜昌市防疫相关规定。考查入场流程、疫情防控注意事项根据考前疫情防控工作要求执行。</w:t>
      </w:r>
    </w:p>
    <w:p>
      <w:pPr>
        <w:pStyle w:val="2"/>
        <w:keepNext w:val="0"/>
        <w:keepLines w:val="0"/>
        <w:widowControl/>
        <w:suppressLineNumbers w:val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6FF06E1E"/>
    <w:rsid w:val="6FF06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2022-08-05T11:38:00Z</dcterms:created>
  <dc:creator>武汉易学堂</dc:creator>
  <cp:lastModifiedBy>武汉易学堂</cp:lastModifiedBy>
  <dcterms:modified xsi:type="dcterms:W3CDTF">2022-08-05T11:38:43Z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6F19DD7F81B845F4A9B702E90CE4F4CC</vt:lpwstr>
  </property>
</Properties>
</file>