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0"/>
        <w:rPr>
          <w:rFonts w:ascii="Times New Roman"/>
          <w:sz w:val="20"/>
        </w:rPr>
      </w:pPr>
    </w:p>
    <w:p>
      <w:pPr>
        <w:spacing w:line="240" w:lineRule="auto" w:before="277"/>
        <w:ind w:left="3241" w:right="476" w:hanging="2830"/>
        <w:jc w:val="left"/>
        <w:rPr>
          <w:rFonts w:ascii="宋体" w:eastAsia="宋体" w:hint="eastAsia"/>
          <w:sz w:val="44"/>
        </w:rPr>
      </w:pPr>
      <w:r>
        <w:rPr>
          <w:rFonts w:ascii="宋体" w:eastAsia="宋体" w:hint="eastAsia"/>
          <w:sz w:val="44"/>
        </w:rPr>
        <w:t>湖北经济学院法商学院 2022 年普通专升本</w:t>
      </w:r>
      <w:r>
        <w:rPr>
          <w:rFonts w:ascii="宋体" w:eastAsia="宋体" w:hint="eastAsia"/>
          <w:w w:val="105"/>
          <w:sz w:val="44"/>
        </w:rPr>
        <w:t>补录工作公告</w:t>
      </w:r>
    </w:p>
    <w:p>
      <w:pPr>
        <w:pStyle w:val="BodyText"/>
        <w:spacing w:before="8"/>
        <w:ind w:left="0"/>
        <w:rPr>
          <w:rFonts w:ascii="宋体"/>
          <w:sz w:val="52"/>
        </w:rPr>
      </w:pPr>
    </w:p>
    <w:p>
      <w:pPr>
        <w:pStyle w:val="BodyText"/>
        <w:ind w:left="760"/>
        <w:jc w:val="both"/>
      </w:pPr>
      <w:r>
        <w:rPr>
          <w:spacing w:val="-34"/>
        </w:rPr>
        <w:t>我校 </w:t>
      </w:r>
      <w:r>
        <w:rPr/>
        <w:t>2022</w:t>
      </w:r>
      <w:r>
        <w:rPr>
          <w:spacing w:val="-14"/>
        </w:rPr>
        <w:t> 年普通专升本第一批招生录取工作现已基本完成，</w:t>
      </w:r>
    </w:p>
    <w:p>
      <w:pPr>
        <w:pStyle w:val="BodyText"/>
        <w:spacing w:line="328" w:lineRule="auto" w:before="150"/>
        <w:ind w:right="270"/>
        <w:jc w:val="both"/>
      </w:pPr>
      <w:r>
        <w:rPr>
          <w:spacing w:val="-21"/>
        </w:rPr>
        <w:t>根据《省教育厅关于做好 </w:t>
      </w:r>
      <w:r>
        <w:rPr/>
        <w:t>2022</w:t>
      </w:r>
      <w:r>
        <w:rPr>
          <w:spacing w:val="-18"/>
        </w:rPr>
        <w:t> 年普通专升本工作的通知》精神及</w:t>
      </w:r>
      <w:r>
        <w:rPr>
          <w:spacing w:val="-5"/>
          <w:w w:val="95"/>
        </w:rPr>
        <w:t>相关工作要求，学校将开展普通专升本补录工作，现将有关事宜 </w:t>
      </w:r>
      <w:r>
        <w:rPr>
          <w:spacing w:val="-4"/>
        </w:rPr>
        <w:t>通知如下：</w:t>
      </w:r>
    </w:p>
    <w:p>
      <w:pPr>
        <w:pStyle w:val="BodyText"/>
        <w:spacing w:line="405" w:lineRule="exact"/>
        <w:ind w:left="760"/>
        <w:rPr>
          <w:rFonts w:ascii="黑体" w:eastAsia="黑体" w:hint="eastAsia"/>
        </w:rPr>
      </w:pPr>
      <w:r>
        <w:rPr>
          <w:rFonts w:ascii="黑体" w:eastAsia="黑体" w:hint="eastAsia"/>
        </w:rPr>
        <w:t>一、考生范围</w:t>
      </w:r>
    </w:p>
    <w:p>
      <w:pPr>
        <w:pStyle w:val="BodyText"/>
        <w:spacing w:line="328" w:lineRule="auto" w:before="149"/>
        <w:ind w:right="269" w:firstLine="674"/>
      </w:pPr>
      <w:r>
        <w:rPr>
          <w:spacing w:val="-33"/>
        </w:rPr>
        <w:t>我校 </w:t>
      </w:r>
      <w:r>
        <w:rPr>
          <w:rFonts w:ascii="Times New Roman" w:eastAsia="Times New Roman"/>
        </w:rPr>
        <w:t>2022 </w:t>
      </w:r>
      <w:r>
        <w:rPr>
          <w:spacing w:val="-5"/>
        </w:rPr>
        <w:t>年普通专升本补录对象为退役大学生士兵，无普</w:t>
      </w:r>
      <w:r>
        <w:rPr>
          <w:spacing w:val="-7"/>
          <w:w w:val="95"/>
        </w:rPr>
        <w:t>通考生补录计划。参加补录报名的</w:t>
      </w:r>
      <w:r>
        <w:rPr>
          <w:b/>
          <w:spacing w:val="-3"/>
          <w:w w:val="95"/>
        </w:rPr>
        <w:t>退役大学生士兵考生</w:t>
      </w:r>
      <w:r>
        <w:rPr>
          <w:spacing w:val="-3"/>
          <w:w w:val="95"/>
        </w:rPr>
        <w:t>须同时满 </w:t>
      </w:r>
      <w:r>
        <w:rPr>
          <w:spacing w:val="-5"/>
        </w:rPr>
        <w:t>足以下条件：</w:t>
      </w:r>
    </w:p>
    <w:p>
      <w:pPr>
        <w:pStyle w:val="ListParagraph"/>
        <w:numPr>
          <w:ilvl w:val="0"/>
          <w:numId w:val="1"/>
        </w:numPr>
        <w:tabs>
          <w:tab w:pos="1089" w:val="left" w:leader="none"/>
        </w:tabs>
        <w:spacing w:line="328" w:lineRule="auto" w:before="0" w:after="0"/>
        <w:ind w:left="126" w:right="269" w:firstLine="633"/>
        <w:jc w:val="left"/>
        <w:rPr>
          <w:sz w:val="32"/>
        </w:rPr>
      </w:pPr>
      <w:r>
        <w:rPr>
          <w:spacing w:val="8"/>
          <w:w w:val="95"/>
          <w:sz w:val="32"/>
        </w:rPr>
        <w:t>已参加全省普通专升本网络统一报名并经相关高校审核 </w:t>
      </w:r>
      <w:r>
        <w:rPr>
          <w:spacing w:val="-5"/>
          <w:sz w:val="32"/>
        </w:rPr>
        <w:t>确认正式报名的考生；</w:t>
      </w:r>
    </w:p>
    <w:p>
      <w:pPr>
        <w:pStyle w:val="ListParagraph"/>
        <w:numPr>
          <w:ilvl w:val="0"/>
          <w:numId w:val="1"/>
        </w:numPr>
        <w:tabs>
          <w:tab w:pos="1079" w:val="left" w:leader="none"/>
        </w:tabs>
        <w:spacing w:line="326" w:lineRule="auto" w:before="0" w:after="0"/>
        <w:ind w:left="126" w:right="269" w:firstLine="633"/>
        <w:jc w:val="left"/>
        <w:rPr>
          <w:sz w:val="32"/>
        </w:rPr>
      </w:pPr>
      <w:r>
        <w:rPr>
          <w:spacing w:val="-5"/>
          <w:w w:val="95"/>
          <w:sz w:val="32"/>
        </w:rPr>
        <w:t>正常参加我省招生高校专升本考试</w:t>
      </w:r>
      <w:r>
        <w:rPr>
          <w:spacing w:val="-3"/>
          <w:w w:val="95"/>
          <w:sz w:val="32"/>
        </w:rPr>
        <w:t>（</w:t>
      </w:r>
      <w:r>
        <w:rPr>
          <w:spacing w:val="-5"/>
          <w:w w:val="95"/>
          <w:sz w:val="32"/>
        </w:rPr>
        <w:t>退役大学生士兵参加 </w:t>
      </w:r>
      <w:r>
        <w:rPr>
          <w:spacing w:val="-5"/>
          <w:sz w:val="32"/>
        </w:rPr>
        <w:t>招生高校综合考查</w:t>
      </w:r>
      <w:r>
        <w:rPr>
          <w:spacing w:val="-3"/>
          <w:sz w:val="32"/>
        </w:rPr>
        <w:t>）</w:t>
      </w:r>
      <w:r>
        <w:rPr>
          <w:spacing w:val="-5"/>
          <w:sz w:val="32"/>
        </w:rPr>
        <w:t>且未被预录取的考生。</w:t>
      </w:r>
    </w:p>
    <w:p>
      <w:pPr>
        <w:pStyle w:val="BodyText"/>
        <w:spacing w:line="326" w:lineRule="auto"/>
        <w:ind w:right="110" w:firstLine="633"/>
      </w:pPr>
      <w:r>
        <w:rPr>
          <w:spacing w:val="8"/>
        </w:rPr>
        <w:t>符合以上条件的退役大学生士兵考生参加退役大学生士兵</w:t>
      </w:r>
      <w:r>
        <w:rPr>
          <w:spacing w:val="-22"/>
        </w:rPr>
        <w:t>补录报名，限报 </w:t>
      </w:r>
      <w:r>
        <w:rPr/>
        <w:t>2</w:t>
      </w:r>
      <w:r>
        <w:rPr>
          <w:spacing w:val="-20"/>
        </w:rPr>
        <w:t> 个志愿，即第一志愿、第二志愿。每个志愿为：</w:t>
      </w:r>
    </w:p>
    <w:p>
      <w:pPr>
        <w:pStyle w:val="BodyText"/>
        <w:spacing w:before="1"/>
      </w:pPr>
      <w:r>
        <w:rPr/>
        <w:t>“1 所院校名称+1 个报考专业”。</w:t>
      </w:r>
    </w:p>
    <w:p>
      <w:pPr>
        <w:pStyle w:val="BodyText"/>
        <w:spacing w:before="151"/>
        <w:ind w:left="760"/>
        <w:rPr>
          <w:rFonts w:ascii="黑体" w:eastAsia="黑体" w:hint="eastAsia"/>
        </w:rPr>
      </w:pPr>
      <w:r>
        <w:rPr>
          <w:rFonts w:ascii="黑体" w:eastAsia="黑体" w:hint="eastAsia"/>
        </w:rPr>
        <w:t>二、补录计划及专业要求</w:t>
      </w:r>
    </w:p>
    <w:p>
      <w:pPr>
        <w:pStyle w:val="BodyText"/>
        <w:spacing w:line="304" w:lineRule="auto" w:before="118"/>
        <w:ind w:right="110" w:firstLine="674"/>
      </w:pPr>
      <w:r>
        <w:rPr>
          <w:spacing w:val="-18"/>
          <w:w w:val="95"/>
        </w:rPr>
        <w:t>凡是符合补录条件的考生，均可报考我校。考生高职</w:t>
      </w:r>
      <w:r>
        <w:rPr>
          <w:spacing w:val="-5"/>
          <w:w w:val="95"/>
        </w:rPr>
        <w:t>（</w:t>
      </w:r>
      <w:r>
        <w:rPr>
          <w:spacing w:val="-3"/>
          <w:w w:val="95"/>
        </w:rPr>
        <w:t>专科</w:t>
      </w:r>
      <w:r>
        <w:rPr>
          <w:w w:val="95"/>
        </w:rPr>
        <w:t>） </w:t>
      </w:r>
      <w:r>
        <w:rPr>
          <w:spacing w:val="-5"/>
        </w:rPr>
        <w:t>所修专业与报考本科专业相同或相近，可不局限于考生第一次报名时所填报的专业。</w:t>
      </w:r>
    </w:p>
    <w:p>
      <w:pPr>
        <w:spacing w:after="0" w:line="304" w:lineRule="auto"/>
        <w:sectPr>
          <w:footerReference w:type="default" r:id="rId5"/>
          <w:type w:val="continuous"/>
          <w:pgSz w:w="11910" w:h="16840"/>
          <w:pgMar w:footer="1845" w:top="1580" w:bottom="2040" w:left="1460" w:right="1200"/>
          <w:pgNumType w:start="1"/>
        </w:sect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19"/>
        </w:rPr>
      </w:pPr>
    </w:p>
    <w:tbl>
      <w:tblPr>
        <w:tblW w:w="0" w:type="auto"/>
        <w:jc w:val="left"/>
        <w:tblInd w:w="5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90"/>
        <w:gridCol w:w="2444"/>
        <w:gridCol w:w="1276"/>
        <w:gridCol w:w="1417"/>
        <w:gridCol w:w="2126"/>
      </w:tblGrid>
      <w:tr>
        <w:trPr>
          <w:trHeight w:val="1050" w:hRule="atLeast"/>
        </w:trPr>
        <w:tc>
          <w:tcPr>
            <w:tcW w:w="690" w:type="dxa"/>
          </w:tcPr>
          <w:p>
            <w:pPr>
              <w:pStyle w:val="TableParagraph"/>
              <w:spacing w:before="11"/>
              <w:jc w:val="left"/>
              <w:rPr>
                <w:sz w:val="22"/>
              </w:rPr>
            </w:pPr>
          </w:p>
          <w:p>
            <w:pPr>
              <w:pStyle w:val="TableParagraph"/>
              <w:spacing w:before="0"/>
              <w:ind w:left="85" w:right="73"/>
              <w:rPr>
                <w:b/>
                <w:sz w:val="24"/>
              </w:rPr>
            </w:pPr>
            <w:r>
              <w:rPr>
                <w:b/>
                <w:sz w:val="24"/>
              </w:rPr>
              <w:t>序号</w:t>
            </w:r>
          </w:p>
        </w:tc>
        <w:tc>
          <w:tcPr>
            <w:tcW w:w="2444" w:type="dxa"/>
          </w:tcPr>
          <w:p>
            <w:pPr>
              <w:pStyle w:val="TableParagraph"/>
              <w:spacing w:before="11"/>
              <w:jc w:val="left"/>
              <w:rPr>
                <w:sz w:val="22"/>
              </w:rPr>
            </w:pPr>
          </w:p>
          <w:p>
            <w:pPr>
              <w:pStyle w:val="TableParagraph"/>
              <w:spacing w:before="0"/>
              <w:ind w:left="242" w:right="232"/>
              <w:rPr>
                <w:b/>
                <w:sz w:val="24"/>
              </w:rPr>
            </w:pPr>
            <w:r>
              <w:rPr>
                <w:b/>
                <w:sz w:val="24"/>
              </w:rPr>
              <w:t>专业名称</w:t>
            </w:r>
          </w:p>
        </w:tc>
        <w:tc>
          <w:tcPr>
            <w:tcW w:w="1276" w:type="dxa"/>
          </w:tcPr>
          <w:p>
            <w:pPr>
              <w:pStyle w:val="TableParagraph"/>
              <w:spacing w:before="11"/>
              <w:jc w:val="left"/>
              <w:rPr>
                <w:sz w:val="22"/>
              </w:rPr>
            </w:pPr>
          </w:p>
          <w:p>
            <w:pPr>
              <w:pStyle w:val="TableParagraph"/>
              <w:spacing w:before="0"/>
              <w:ind w:left="136" w:right="126"/>
              <w:rPr>
                <w:b/>
                <w:sz w:val="24"/>
              </w:rPr>
            </w:pPr>
            <w:r>
              <w:rPr>
                <w:b/>
                <w:sz w:val="24"/>
              </w:rPr>
              <w:t>专业代码</w:t>
            </w:r>
          </w:p>
        </w:tc>
        <w:tc>
          <w:tcPr>
            <w:tcW w:w="1417" w:type="dxa"/>
          </w:tcPr>
          <w:p>
            <w:pPr>
              <w:pStyle w:val="TableParagraph"/>
              <w:spacing w:before="60"/>
              <w:ind w:left="233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学费标准</w:t>
            </w:r>
          </w:p>
          <w:p>
            <w:pPr>
              <w:pStyle w:val="TableParagraph"/>
              <w:spacing w:before="158"/>
              <w:ind w:left="173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（元/年）</w:t>
            </w:r>
          </w:p>
        </w:tc>
        <w:tc>
          <w:tcPr>
            <w:tcW w:w="2126" w:type="dxa"/>
          </w:tcPr>
          <w:p>
            <w:pPr>
              <w:pStyle w:val="TableParagraph"/>
              <w:spacing w:line="362" w:lineRule="auto" w:before="60"/>
              <w:ind w:left="470" w:right="47" w:hanging="356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退役大学生士兵计划数（人）</w:t>
            </w:r>
          </w:p>
        </w:tc>
      </w:tr>
      <w:tr>
        <w:trPr>
          <w:trHeight w:val="557" w:hRule="atLeast"/>
        </w:trPr>
        <w:tc>
          <w:tcPr>
            <w:tcW w:w="690" w:type="dxa"/>
          </w:tcPr>
          <w:p>
            <w:pPr>
              <w:pStyle w:val="TableParagraph"/>
              <w:spacing w:before="47"/>
              <w:ind w:left="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44" w:type="dxa"/>
          </w:tcPr>
          <w:p>
            <w:pPr>
              <w:pStyle w:val="TableParagraph"/>
              <w:spacing w:before="47"/>
              <w:ind w:left="242" w:right="229"/>
              <w:rPr>
                <w:sz w:val="24"/>
              </w:rPr>
            </w:pPr>
            <w:r>
              <w:rPr>
                <w:sz w:val="24"/>
              </w:rPr>
              <w:t>金融学</w:t>
            </w:r>
          </w:p>
        </w:tc>
        <w:tc>
          <w:tcPr>
            <w:tcW w:w="1276" w:type="dxa"/>
          </w:tcPr>
          <w:p>
            <w:pPr>
              <w:pStyle w:val="TableParagraph"/>
              <w:spacing w:before="47"/>
              <w:ind w:left="136" w:right="123"/>
              <w:rPr>
                <w:sz w:val="24"/>
              </w:rPr>
            </w:pPr>
            <w:r>
              <w:rPr>
                <w:sz w:val="24"/>
              </w:rPr>
              <w:t>020301K</w:t>
            </w:r>
          </w:p>
        </w:tc>
        <w:tc>
          <w:tcPr>
            <w:tcW w:w="1417" w:type="dxa"/>
          </w:tcPr>
          <w:p>
            <w:pPr>
              <w:pStyle w:val="TableParagraph"/>
              <w:spacing w:before="47"/>
              <w:ind w:left="389" w:right="377"/>
              <w:rPr>
                <w:sz w:val="24"/>
              </w:rPr>
            </w:pPr>
            <w:r>
              <w:rPr>
                <w:sz w:val="24"/>
              </w:rPr>
              <w:t>20000</w:t>
            </w:r>
          </w:p>
        </w:tc>
        <w:tc>
          <w:tcPr>
            <w:tcW w:w="2126" w:type="dxa"/>
            <w:vMerge w:val="restart"/>
          </w:tcPr>
          <w:p>
            <w:pPr>
              <w:pStyle w:val="TableParagraph"/>
              <w:spacing w:before="0"/>
              <w:jc w:val="left"/>
              <w:rPr>
                <w:sz w:val="24"/>
              </w:rPr>
            </w:pPr>
          </w:p>
          <w:p>
            <w:pPr>
              <w:pStyle w:val="TableParagraph"/>
              <w:spacing w:before="0"/>
              <w:jc w:val="left"/>
              <w:rPr>
                <w:sz w:val="24"/>
              </w:rPr>
            </w:pPr>
          </w:p>
          <w:p>
            <w:pPr>
              <w:pStyle w:val="TableParagraph"/>
              <w:spacing w:before="0"/>
              <w:jc w:val="left"/>
              <w:rPr>
                <w:sz w:val="24"/>
              </w:rPr>
            </w:pPr>
          </w:p>
          <w:p>
            <w:pPr>
              <w:pStyle w:val="TableParagraph"/>
              <w:spacing w:before="0"/>
              <w:jc w:val="left"/>
              <w:rPr>
                <w:sz w:val="24"/>
              </w:rPr>
            </w:pPr>
          </w:p>
          <w:p>
            <w:pPr>
              <w:pStyle w:val="TableParagraph"/>
              <w:spacing w:before="0"/>
              <w:jc w:val="left"/>
              <w:rPr>
                <w:sz w:val="24"/>
              </w:rPr>
            </w:pPr>
          </w:p>
          <w:p>
            <w:pPr>
              <w:pStyle w:val="TableParagraph"/>
              <w:spacing w:before="0"/>
              <w:jc w:val="left"/>
              <w:rPr>
                <w:sz w:val="24"/>
              </w:rPr>
            </w:pPr>
          </w:p>
          <w:p>
            <w:pPr>
              <w:pStyle w:val="TableParagraph"/>
              <w:spacing w:before="0"/>
              <w:jc w:val="left"/>
              <w:rPr>
                <w:sz w:val="24"/>
              </w:rPr>
            </w:pPr>
          </w:p>
          <w:p>
            <w:pPr>
              <w:pStyle w:val="TableParagraph"/>
              <w:spacing w:before="9"/>
              <w:jc w:val="left"/>
              <w:rPr>
                <w:sz w:val="34"/>
              </w:rPr>
            </w:pPr>
          </w:p>
          <w:p>
            <w:pPr>
              <w:pStyle w:val="TableParagraph"/>
              <w:spacing w:before="1"/>
              <w:ind w:left="921" w:right="911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557" w:hRule="atLeast"/>
        </w:trPr>
        <w:tc>
          <w:tcPr>
            <w:tcW w:w="690" w:type="dxa"/>
          </w:tcPr>
          <w:p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444" w:type="dxa"/>
          </w:tcPr>
          <w:p>
            <w:pPr>
              <w:pStyle w:val="TableParagraph"/>
              <w:ind w:left="242" w:right="229"/>
              <w:rPr>
                <w:sz w:val="24"/>
              </w:rPr>
            </w:pPr>
            <w:r>
              <w:rPr>
                <w:sz w:val="24"/>
              </w:rPr>
              <w:t>会计学</w:t>
            </w:r>
          </w:p>
        </w:tc>
        <w:tc>
          <w:tcPr>
            <w:tcW w:w="1276" w:type="dxa"/>
          </w:tcPr>
          <w:p>
            <w:pPr>
              <w:pStyle w:val="TableParagraph"/>
              <w:ind w:left="136" w:right="123"/>
              <w:rPr>
                <w:sz w:val="24"/>
              </w:rPr>
            </w:pPr>
            <w:r>
              <w:rPr>
                <w:sz w:val="24"/>
              </w:rPr>
              <w:t>120203K</w:t>
            </w:r>
          </w:p>
        </w:tc>
        <w:tc>
          <w:tcPr>
            <w:tcW w:w="1417" w:type="dxa"/>
          </w:tcPr>
          <w:p>
            <w:pPr>
              <w:pStyle w:val="TableParagraph"/>
              <w:ind w:left="389" w:right="377"/>
              <w:rPr>
                <w:sz w:val="24"/>
              </w:rPr>
            </w:pPr>
            <w:r>
              <w:rPr>
                <w:sz w:val="24"/>
              </w:rPr>
              <w:t>20000</w:t>
            </w:r>
          </w:p>
        </w:tc>
        <w:tc>
          <w:tcPr>
            <w:tcW w:w="21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56" w:hRule="atLeast"/>
        </w:trPr>
        <w:tc>
          <w:tcPr>
            <w:tcW w:w="690" w:type="dxa"/>
          </w:tcPr>
          <w:p>
            <w:pPr>
              <w:pStyle w:val="TableParagraph"/>
              <w:spacing w:before="48"/>
              <w:ind w:left="1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444" w:type="dxa"/>
          </w:tcPr>
          <w:p>
            <w:pPr>
              <w:pStyle w:val="TableParagraph"/>
              <w:spacing w:before="48"/>
              <w:ind w:left="242" w:right="229"/>
              <w:rPr>
                <w:sz w:val="24"/>
              </w:rPr>
            </w:pPr>
            <w:r>
              <w:rPr>
                <w:sz w:val="24"/>
              </w:rPr>
              <w:t>市场营销</w:t>
            </w:r>
          </w:p>
        </w:tc>
        <w:tc>
          <w:tcPr>
            <w:tcW w:w="1276" w:type="dxa"/>
          </w:tcPr>
          <w:p>
            <w:pPr>
              <w:pStyle w:val="TableParagraph"/>
              <w:spacing w:before="48"/>
              <w:ind w:left="136" w:right="126"/>
              <w:rPr>
                <w:sz w:val="24"/>
              </w:rPr>
            </w:pPr>
            <w:r>
              <w:rPr>
                <w:sz w:val="24"/>
              </w:rPr>
              <w:t>120202</w:t>
            </w:r>
          </w:p>
        </w:tc>
        <w:tc>
          <w:tcPr>
            <w:tcW w:w="1417" w:type="dxa"/>
          </w:tcPr>
          <w:p>
            <w:pPr>
              <w:pStyle w:val="TableParagraph"/>
              <w:spacing w:before="48"/>
              <w:ind w:left="389" w:right="377"/>
              <w:rPr>
                <w:sz w:val="24"/>
              </w:rPr>
            </w:pPr>
            <w:r>
              <w:rPr>
                <w:sz w:val="24"/>
              </w:rPr>
              <w:t>20000</w:t>
            </w:r>
          </w:p>
        </w:tc>
        <w:tc>
          <w:tcPr>
            <w:tcW w:w="21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57" w:hRule="atLeast"/>
        </w:trPr>
        <w:tc>
          <w:tcPr>
            <w:tcW w:w="690" w:type="dxa"/>
          </w:tcPr>
          <w:p>
            <w:pPr>
              <w:pStyle w:val="TableParagraph"/>
              <w:spacing w:before="47"/>
              <w:ind w:left="1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444" w:type="dxa"/>
          </w:tcPr>
          <w:p>
            <w:pPr>
              <w:pStyle w:val="TableParagraph"/>
              <w:spacing w:before="47"/>
              <w:ind w:left="242" w:right="227"/>
              <w:rPr>
                <w:sz w:val="24"/>
              </w:rPr>
            </w:pPr>
            <w:r>
              <w:rPr>
                <w:sz w:val="24"/>
              </w:rPr>
              <w:t>烹饪与营养教育</w:t>
            </w:r>
          </w:p>
        </w:tc>
        <w:tc>
          <w:tcPr>
            <w:tcW w:w="1276" w:type="dxa"/>
          </w:tcPr>
          <w:p>
            <w:pPr>
              <w:pStyle w:val="TableParagraph"/>
              <w:spacing w:before="47"/>
              <w:ind w:left="136" w:right="123"/>
              <w:rPr>
                <w:sz w:val="24"/>
              </w:rPr>
            </w:pPr>
            <w:r>
              <w:rPr>
                <w:sz w:val="24"/>
              </w:rPr>
              <w:t>082708T</w:t>
            </w:r>
          </w:p>
        </w:tc>
        <w:tc>
          <w:tcPr>
            <w:tcW w:w="1417" w:type="dxa"/>
          </w:tcPr>
          <w:p>
            <w:pPr>
              <w:pStyle w:val="TableParagraph"/>
              <w:spacing w:before="47"/>
              <w:ind w:left="389" w:right="377"/>
              <w:rPr>
                <w:sz w:val="24"/>
              </w:rPr>
            </w:pPr>
            <w:r>
              <w:rPr>
                <w:sz w:val="24"/>
              </w:rPr>
              <w:t>16000</w:t>
            </w:r>
          </w:p>
        </w:tc>
        <w:tc>
          <w:tcPr>
            <w:tcW w:w="21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56" w:hRule="atLeast"/>
        </w:trPr>
        <w:tc>
          <w:tcPr>
            <w:tcW w:w="690" w:type="dxa"/>
          </w:tcPr>
          <w:p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444" w:type="dxa"/>
          </w:tcPr>
          <w:p>
            <w:pPr>
              <w:pStyle w:val="TableParagraph"/>
              <w:ind w:left="242" w:right="229"/>
              <w:rPr>
                <w:sz w:val="24"/>
              </w:rPr>
            </w:pPr>
            <w:r>
              <w:rPr>
                <w:sz w:val="24"/>
              </w:rPr>
              <w:t>电子商务</w:t>
            </w:r>
          </w:p>
        </w:tc>
        <w:tc>
          <w:tcPr>
            <w:tcW w:w="1276" w:type="dxa"/>
          </w:tcPr>
          <w:p>
            <w:pPr>
              <w:pStyle w:val="TableParagraph"/>
              <w:ind w:left="136" w:right="126"/>
              <w:rPr>
                <w:sz w:val="24"/>
              </w:rPr>
            </w:pPr>
            <w:r>
              <w:rPr>
                <w:sz w:val="24"/>
              </w:rPr>
              <w:t>120801</w:t>
            </w:r>
          </w:p>
        </w:tc>
        <w:tc>
          <w:tcPr>
            <w:tcW w:w="1417" w:type="dxa"/>
          </w:tcPr>
          <w:p>
            <w:pPr>
              <w:pStyle w:val="TableParagraph"/>
              <w:ind w:left="389" w:right="377"/>
              <w:rPr>
                <w:sz w:val="24"/>
              </w:rPr>
            </w:pPr>
            <w:r>
              <w:rPr>
                <w:sz w:val="24"/>
              </w:rPr>
              <w:t>18000</w:t>
            </w:r>
          </w:p>
        </w:tc>
        <w:tc>
          <w:tcPr>
            <w:tcW w:w="21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57" w:hRule="atLeast"/>
        </w:trPr>
        <w:tc>
          <w:tcPr>
            <w:tcW w:w="690" w:type="dxa"/>
          </w:tcPr>
          <w:p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444" w:type="dxa"/>
          </w:tcPr>
          <w:p>
            <w:pPr>
              <w:pStyle w:val="TableParagraph"/>
              <w:ind w:left="242" w:right="229"/>
              <w:rPr>
                <w:sz w:val="24"/>
              </w:rPr>
            </w:pPr>
            <w:r>
              <w:rPr>
                <w:sz w:val="24"/>
              </w:rPr>
              <w:t>商务英语</w:t>
            </w:r>
          </w:p>
        </w:tc>
        <w:tc>
          <w:tcPr>
            <w:tcW w:w="1276" w:type="dxa"/>
          </w:tcPr>
          <w:p>
            <w:pPr>
              <w:pStyle w:val="TableParagraph"/>
              <w:ind w:left="136" w:right="126"/>
              <w:rPr>
                <w:sz w:val="24"/>
              </w:rPr>
            </w:pPr>
            <w:r>
              <w:rPr>
                <w:sz w:val="24"/>
              </w:rPr>
              <w:t>050262</w:t>
            </w:r>
          </w:p>
        </w:tc>
        <w:tc>
          <w:tcPr>
            <w:tcW w:w="1417" w:type="dxa"/>
          </w:tcPr>
          <w:p>
            <w:pPr>
              <w:pStyle w:val="TableParagraph"/>
              <w:ind w:left="389" w:right="377"/>
              <w:rPr>
                <w:sz w:val="24"/>
              </w:rPr>
            </w:pPr>
            <w:r>
              <w:rPr>
                <w:sz w:val="24"/>
              </w:rPr>
              <w:t>18000</w:t>
            </w:r>
          </w:p>
        </w:tc>
        <w:tc>
          <w:tcPr>
            <w:tcW w:w="21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56" w:hRule="atLeast"/>
        </w:trPr>
        <w:tc>
          <w:tcPr>
            <w:tcW w:w="690" w:type="dxa"/>
          </w:tcPr>
          <w:p>
            <w:pPr>
              <w:pStyle w:val="TableParagraph"/>
              <w:spacing w:before="48"/>
              <w:ind w:left="1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444" w:type="dxa"/>
          </w:tcPr>
          <w:p>
            <w:pPr>
              <w:pStyle w:val="TableParagraph"/>
              <w:spacing w:before="48"/>
              <w:ind w:left="242" w:right="229"/>
              <w:rPr>
                <w:sz w:val="24"/>
              </w:rPr>
            </w:pPr>
            <w:r>
              <w:rPr>
                <w:sz w:val="24"/>
              </w:rPr>
              <w:t>工程管理</w:t>
            </w:r>
          </w:p>
        </w:tc>
        <w:tc>
          <w:tcPr>
            <w:tcW w:w="1276" w:type="dxa"/>
          </w:tcPr>
          <w:p>
            <w:pPr>
              <w:pStyle w:val="TableParagraph"/>
              <w:spacing w:before="48"/>
              <w:ind w:left="136" w:right="126"/>
              <w:rPr>
                <w:sz w:val="24"/>
              </w:rPr>
            </w:pPr>
            <w:r>
              <w:rPr>
                <w:sz w:val="24"/>
              </w:rPr>
              <w:t>120103</w:t>
            </w:r>
          </w:p>
        </w:tc>
        <w:tc>
          <w:tcPr>
            <w:tcW w:w="1417" w:type="dxa"/>
          </w:tcPr>
          <w:p>
            <w:pPr>
              <w:pStyle w:val="TableParagraph"/>
              <w:spacing w:before="48"/>
              <w:ind w:left="389" w:right="377"/>
              <w:rPr>
                <w:sz w:val="24"/>
              </w:rPr>
            </w:pPr>
            <w:r>
              <w:rPr>
                <w:sz w:val="24"/>
              </w:rPr>
              <w:t>18000</w:t>
            </w:r>
          </w:p>
        </w:tc>
        <w:tc>
          <w:tcPr>
            <w:tcW w:w="21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57" w:hRule="atLeast"/>
        </w:trPr>
        <w:tc>
          <w:tcPr>
            <w:tcW w:w="690" w:type="dxa"/>
          </w:tcPr>
          <w:p>
            <w:pPr>
              <w:pStyle w:val="TableParagraph"/>
              <w:spacing w:before="47"/>
              <w:ind w:left="1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444" w:type="dxa"/>
          </w:tcPr>
          <w:p>
            <w:pPr>
              <w:pStyle w:val="TableParagraph"/>
              <w:spacing w:before="47"/>
              <w:ind w:left="242" w:right="232"/>
              <w:rPr>
                <w:sz w:val="24"/>
              </w:rPr>
            </w:pPr>
            <w:r>
              <w:rPr>
                <w:sz w:val="24"/>
              </w:rPr>
              <w:t>计算机科学与技术</w:t>
            </w:r>
          </w:p>
        </w:tc>
        <w:tc>
          <w:tcPr>
            <w:tcW w:w="1276" w:type="dxa"/>
          </w:tcPr>
          <w:p>
            <w:pPr>
              <w:pStyle w:val="TableParagraph"/>
              <w:spacing w:before="47"/>
              <w:ind w:left="136" w:right="126"/>
              <w:rPr>
                <w:sz w:val="24"/>
              </w:rPr>
            </w:pPr>
            <w:r>
              <w:rPr>
                <w:sz w:val="24"/>
              </w:rPr>
              <w:t>080901</w:t>
            </w:r>
          </w:p>
        </w:tc>
        <w:tc>
          <w:tcPr>
            <w:tcW w:w="1417" w:type="dxa"/>
          </w:tcPr>
          <w:p>
            <w:pPr>
              <w:pStyle w:val="TableParagraph"/>
              <w:spacing w:before="47"/>
              <w:ind w:left="389" w:right="377"/>
              <w:rPr>
                <w:sz w:val="24"/>
              </w:rPr>
            </w:pPr>
            <w:r>
              <w:rPr>
                <w:sz w:val="24"/>
              </w:rPr>
              <w:t>18000</w:t>
            </w:r>
          </w:p>
        </w:tc>
        <w:tc>
          <w:tcPr>
            <w:tcW w:w="21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57" w:hRule="atLeast"/>
        </w:trPr>
        <w:tc>
          <w:tcPr>
            <w:tcW w:w="690" w:type="dxa"/>
          </w:tcPr>
          <w:p>
            <w:pPr>
              <w:pStyle w:val="TableParagraph"/>
              <w:spacing w:before="47"/>
              <w:ind w:left="10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444" w:type="dxa"/>
          </w:tcPr>
          <w:p>
            <w:pPr>
              <w:pStyle w:val="TableParagraph"/>
              <w:spacing w:before="47"/>
              <w:ind w:left="242" w:right="232"/>
              <w:rPr>
                <w:sz w:val="24"/>
              </w:rPr>
            </w:pPr>
            <w:r>
              <w:rPr>
                <w:sz w:val="24"/>
              </w:rPr>
              <w:t>法学</w:t>
            </w:r>
          </w:p>
        </w:tc>
        <w:tc>
          <w:tcPr>
            <w:tcW w:w="1276" w:type="dxa"/>
          </w:tcPr>
          <w:p>
            <w:pPr>
              <w:pStyle w:val="TableParagraph"/>
              <w:spacing w:before="47"/>
              <w:ind w:left="136" w:right="123"/>
              <w:rPr>
                <w:sz w:val="24"/>
              </w:rPr>
            </w:pPr>
            <w:r>
              <w:rPr>
                <w:sz w:val="24"/>
              </w:rPr>
              <w:t>030101K</w:t>
            </w:r>
          </w:p>
        </w:tc>
        <w:tc>
          <w:tcPr>
            <w:tcW w:w="1417" w:type="dxa"/>
          </w:tcPr>
          <w:p>
            <w:pPr>
              <w:pStyle w:val="TableParagraph"/>
              <w:spacing w:before="47"/>
              <w:ind w:left="389" w:right="377"/>
              <w:rPr>
                <w:sz w:val="24"/>
              </w:rPr>
            </w:pPr>
            <w:r>
              <w:rPr>
                <w:sz w:val="24"/>
              </w:rPr>
              <w:t>18000</w:t>
            </w:r>
          </w:p>
        </w:tc>
        <w:tc>
          <w:tcPr>
            <w:tcW w:w="21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56" w:hRule="atLeast"/>
        </w:trPr>
        <w:tc>
          <w:tcPr>
            <w:tcW w:w="690" w:type="dxa"/>
          </w:tcPr>
          <w:p>
            <w:pPr>
              <w:pStyle w:val="TableParagraph"/>
              <w:ind w:left="85" w:right="73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444" w:type="dxa"/>
          </w:tcPr>
          <w:p>
            <w:pPr>
              <w:pStyle w:val="TableParagraph"/>
              <w:ind w:left="242" w:right="229"/>
              <w:rPr>
                <w:sz w:val="24"/>
              </w:rPr>
            </w:pPr>
            <w:r>
              <w:rPr>
                <w:sz w:val="24"/>
              </w:rPr>
              <w:t>视觉传达设计</w:t>
            </w:r>
          </w:p>
        </w:tc>
        <w:tc>
          <w:tcPr>
            <w:tcW w:w="1276" w:type="dxa"/>
          </w:tcPr>
          <w:p>
            <w:pPr>
              <w:pStyle w:val="TableParagraph"/>
              <w:ind w:left="136" w:right="126"/>
              <w:rPr>
                <w:sz w:val="24"/>
              </w:rPr>
            </w:pPr>
            <w:r>
              <w:rPr>
                <w:sz w:val="24"/>
              </w:rPr>
              <w:t>130502</w:t>
            </w:r>
          </w:p>
        </w:tc>
        <w:tc>
          <w:tcPr>
            <w:tcW w:w="1417" w:type="dxa"/>
          </w:tcPr>
          <w:p>
            <w:pPr>
              <w:pStyle w:val="TableParagraph"/>
              <w:ind w:left="389" w:right="377"/>
              <w:rPr>
                <w:sz w:val="24"/>
              </w:rPr>
            </w:pPr>
            <w:r>
              <w:rPr>
                <w:sz w:val="24"/>
              </w:rPr>
              <w:t>22000</w:t>
            </w:r>
          </w:p>
        </w:tc>
        <w:tc>
          <w:tcPr>
            <w:tcW w:w="21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57" w:hRule="atLeast"/>
        </w:trPr>
        <w:tc>
          <w:tcPr>
            <w:tcW w:w="5827" w:type="dxa"/>
            <w:gridSpan w:val="4"/>
          </w:tcPr>
          <w:p>
            <w:pPr>
              <w:pStyle w:val="TableParagraph"/>
              <w:spacing w:before="48"/>
              <w:ind w:left="2653" w:right="2642"/>
              <w:rPr>
                <w:b/>
                <w:sz w:val="24"/>
              </w:rPr>
            </w:pPr>
            <w:r>
              <w:rPr>
                <w:b/>
                <w:sz w:val="24"/>
              </w:rPr>
              <w:t>总计</w:t>
            </w:r>
          </w:p>
        </w:tc>
        <w:tc>
          <w:tcPr>
            <w:tcW w:w="2126" w:type="dxa"/>
          </w:tcPr>
          <w:p>
            <w:pPr>
              <w:pStyle w:val="TableParagraph"/>
              <w:spacing w:before="48"/>
              <w:ind w:left="921" w:right="912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</w:tr>
    </w:tbl>
    <w:p>
      <w:pPr>
        <w:pStyle w:val="BodyText"/>
        <w:spacing w:before="10"/>
        <w:ind w:left="0"/>
        <w:rPr>
          <w:sz w:val="5"/>
        </w:rPr>
      </w:pPr>
    </w:p>
    <w:p>
      <w:pPr>
        <w:pStyle w:val="BodyText"/>
        <w:spacing w:before="54"/>
        <w:ind w:left="760"/>
        <w:rPr>
          <w:rFonts w:ascii="黑体" w:eastAsia="黑体" w:hint="eastAsia"/>
        </w:rPr>
      </w:pPr>
      <w:r>
        <w:rPr>
          <w:rFonts w:ascii="黑体" w:eastAsia="黑体" w:hint="eastAsia"/>
        </w:rPr>
        <w:t>三、报名平台及报名办法</w:t>
      </w:r>
    </w:p>
    <w:p>
      <w:pPr>
        <w:spacing w:line="328" w:lineRule="auto" w:before="152"/>
        <w:ind w:left="126" w:right="269" w:firstLine="674"/>
        <w:jc w:val="left"/>
        <w:rPr>
          <w:sz w:val="32"/>
        </w:rPr>
      </w:pPr>
      <w:r>
        <w:rPr>
          <w:spacing w:val="-5"/>
          <w:sz w:val="32"/>
        </w:rPr>
        <w:t>补录工作统一通过湖北省高等学校普通专升本补录报名平</w:t>
      </w:r>
      <w:r>
        <w:rPr>
          <w:spacing w:val="-3"/>
          <w:sz w:val="32"/>
        </w:rPr>
        <w:t>台（</w:t>
      </w:r>
      <w:hyperlink r:id="rId6">
        <w:r>
          <w:rPr>
            <w:spacing w:val="-3"/>
            <w:sz w:val="32"/>
          </w:rPr>
          <w:t>http://zsb.e21.cn/</w:t>
        </w:r>
      </w:hyperlink>
      <w:r>
        <w:rPr>
          <w:spacing w:val="-5"/>
          <w:sz w:val="32"/>
        </w:rPr>
        <w:t>，以下简称“补录报名平台</w:t>
      </w:r>
      <w:r>
        <w:rPr>
          <w:spacing w:val="-3"/>
          <w:sz w:val="32"/>
        </w:rPr>
        <w:t>”）进行网</w:t>
      </w:r>
      <w:r>
        <w:rPr>
          <w:spacing w:val="-14"/>
          <w:sz w:val="32"/>
        </w:rPr>
        <w:t>络报名，</w:t>
      </w:r>
      <w:r>
        <w:rPr>
          <w:b/>
          <w:spacing w:val="-14"/>
          <w:sz w:val="32"/>
        </w:rPr>
        <w:t>补录报名时间为 </w:t>
      </w:r>
      <w:r>
        <w:rPr>
          <w:b/>
          <w:sz w:val="32"/>
        </w:rPr>
        <w:t>8</w:t>
      </w:r>
      <w:r>
        <w:rPr>
          <w:b/>
          <w:spacing w:val="-60"/>
          <w:sz w:val="32"/>
        </w:rPr>
        <w:t> 月 </w:t>
      </w:r>
      <w:r>
        <w:rPr>
          <w:b/>
          <w:sz w:val="32"/>
        </w:rPr>
        <w:t>8</w:t>
      </w:r>
      <w:r>
        <w:rPr>
          <w:b/>
          <w:spacing w:val="-61"/>
          <w:sz w:val="32"/>
        </w:rPr>
        <w:t> 日 </w:t>
      </w:r>
      <w:r>
        <w:rPr>
          <w:b/>
          <w:spacing w:val="-10"/>
          <w:sz w:val="32"/>
        </w:rPr>
        <w:t>9：00</w:t>
      </w:r>
      <w:r>
        <w:rPr>
          <w:b/>
          <w:spacing w:val="-61"/>
          <w:sz w:val="32"/>
        </w:rPr>
        <w:t> 至 </w:t>
      </w:r>
      <w:r>
        <w:rPr>
          <w:b/>
          <w:sz w:val="32"/>
        </w:rPr>
        <w:t>11</w:t>
      </w:r>
      <w:r>
        <w:rPr>
          <w:b/>
          <w:spacing w:val="-61"/>
          <w:sz w:val="32"/>
        </w:rPr>
        <w:t> 日 </w:t>
      </w:r>
      <w:r>
        <w:rPr>
          <w:b/>
          <w:spacing w:val="-8"/>
          <w:sz w:val="32"/>
        </w:rPr>
        <w:t>16:00</w:t>
      </w:r>
      <w:r>
        <w:rPr>
          <w:spacing w:val="-5"/>
          <w:sz w:val="32"/>
        </w:rPr>
        <w:t>，报名办法见《补录须知》。</w:t>
      </w:r>
    </w:p>
    <w:p>
      <w:pPr>
        <w:pStyle w:val="ListParagraph"/>
        <w:numPr>
          <w:ilvl w:val="0"/>
          <w:numId w:val="2"/>
        </w:numPr>
        <w:tabs>
          <w:tab w:pos="1082" w:val="left" w:leader="none"/>
        </w:tabs>
        <w:spacing w:line="328" w:lineRule="auto" w:before="0" w:after="0"/>
        <w:ind w:left="126" w:right="269" w:firstLine="633"/>
        <w:jc w:val="both"/>
        <w:rPr>
          <w:sz w:val="32"/>
        </w:rPr>
      </w:pPr>
      <w:r>
        <w:rPr>
          <w:spacing w:val="-4"/>
          <w:sz w:val="32"/>
        </w:rPr>
        <w:t>符合补录报名条件的退役大学生士兵考生使用 </w:t>
      </w:r>
      <w:r>
        <w:rPr>
          <w:sz w:val="32"/>
        </w:rPr>
        <w:t>2022</w:t>
      </w:r>
      <w:r>
        <w:rPr>
          <w:spacing w:val="-28"/>
          <w:sz w:val="32"/>
        </w:rPr>
        <w:t> 年全</w:t>
      </w:r>
      <w:r>
        <w:rPr>
          <w:spacing w:val="-5"/>
          <w:w w:val="95"/>
          <w:sz w:val="32"/>
        </w:rPr>
        <w:t>省高校专升本统一网络报名时注册的原账号和报名时设置的密码 </w:t>
      </w:r>
      <w:r>
        <w:rPr>
          <w:spacing w:val="-5"/>
          <w:sz w:val="32"/>
        </w:rPr>
        <w:t>登录补录报名平台进行征集志愿填报。</w:t>
      </w:r>
    </w:p>
    <w:p>
      <w:pPr>
        <w:pStyle w:val="ListParagraph"/>
        <w:numPr>
          <w:ilvl w:val="0"/>
          <w:numId w:val="2"/>
        </w:numPr>
        <w:tabs>
          <w:tab w:pos="1079" w:val="left" w:leader="none"/>
        </w:tabs>
        <w:spacing w:line="405" w:lineRule="exact" w:before="0" w:after="0"/>
        <w:ind w:left="1078" w:right="0" w:hanging="319"/>
        <w:jc w:val="left"/>
        <w:rPr>
          <w:sz w:val="32"/>
        </w:rPr>
      </w:pPr>
      <w:r>
        <w:rPr>
          <w:spacing w:val="-5"/>
          <w:sz w:val="32"/>
        </w:rPr>
        <w:t>登录后，考生点击“补录报名”模块进入下一页面。退役</w:t>
      </w:r>
    </w:p>
    <w:p>
      <w:pPr>
        <w:spacing w:after="0" w:line="405" w:lineRule="exact"/>
        <w:jc w:val="left"/>
        <w:rPr>
          <w:sz w:val="32"/>
        </w:rPr>
        <w:sectPr>
          <w:pgSz w:w="11910" w:h="16840"/>
          <w:pgMar w:header="0" w:footer="1845" w:top="1580" w:bottom="2040" w:left="1460" w:right="1200"/>
        </w:sect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1"/>
        <w:ind w:left="0"/>
        <w:rPr>
          <w:sz w:val="24"/>
        </w:rPr>
      </w:pPr>
    </w:p>
    <w:p>
      <w:pPr>
        <w:pStyle w:val="BodyText"/>
        <w:spacing w:line="326" w:lineRule="auto" w:before="54"/>
        <w:ind w:right="269"/>
      </w:pPr>
      <w:r>
        <w:rPr>
          <w:spacing w:val="-9"/>
        </w:rPr>
        <w:t>大学生士兵考生选择报考高校和专业志愿。每名考生填写 </w:t>
      </w:r>
      <w:r>
        <w:rPr/>
        <w:t>2</w:t>
      </w:r>
      <w:r>
        <w:rPr>
          <w:spacing w:val="-33"/>
        </w:rPr>
        <w:t> 个志</w:t>
      </w:r>
      <w:r>
        <w:rPr>
          <w:spacing w:val="-5"/>
        </w:rPr>
        <w:t>愿，每个志愿为：“</w:t>
      </w:r>
      <w:r>
        <w:rPr>
          <w:spacing w:val="-3"/>
        </w:rPr>
        <w:t>1</w:t>
      </w:r>
      <w:r>
        <w:rPr>
          <w:spacing w:val="-17"/>
        </w:rPr>
        <w:t> 所院校名称+</w:t>
      </w:r>
      <w:r>
        <w:rPr/>
        <w:t>1</w:t>
      </w:r>
      <w:r>
        <w:rPr>
          <w:spacing w:val="-14"/>
        </w:rPr>
        <w:t> 个报考专业”。</w:t>
      </w:r>
    </w:p>
    <w:p>
      <w:pPr>
        <w:pStyle w:val="ListParagraph"/>
        <w:numPr>
          <w:ilvl w:val="0"/>
          <w:numId w:val="2"/>
        </w:numPr>
        <w:tabs>
          <w:tab w:pos="1079" w:val="left" w:leader="none"/>
        </w:tabs>
        <w:spacing w:line="328" w:lineRule="auto" w:before="4" w:after="0"/>
        <w:ind w:left="126" w:right="110" w:firstLine="633"/>
        <w:jc w:val="left"/>
        <w:rPr>
          <w:sz w:val="32"/>
        </w:rPr>
      </w:pPr>
      <w:r>
        <w:rPr>
          <w:spacing w:val="-16"/>
          <w:w w:val="95"/>
          <w:sz w:val="32"/>
        </w:rPr>
        <w:t>征集志愿填报后，考生须点击该志愿对应的“保存”按钮， </w:t>
      </w:r>
      <w:r>
        <w:rPr>
          <w:spacing w:val="-5"/>
          <w:sz w:val="32"/>
        </w:rPr>
        <w:t>才能对该志愿所填报的内容予以保存。</w:t>
      </w:r>
    </w:p>
    <w:p>
      <w:pPr>
        <w:pStyle w:val="ListParagraph"/>
        <w:numPr>
          <w:ilvl w:val="0"/>
          <w:numId w:val="2"/>
        </w:numPr>
        <w:tabs>
          <w:tab w:pos="1079" w:val="left" w:leader="none"/>
        </w:tabs>
        <w:spacing w:line="326" w:lineRule="auto" w:before="0" w:after="0"/>
        <w:ind w:left="126" w:right="270" w:firstLine="633"/>
        <w:jc w:val="left"/>
        <w:rPr>
          <w:sz w:val="32"/>
        </w:rPr>
      </w:pPr>
      <w:r>
        <w:rPr>
          <w:spacing w:val="-5"/>
          <w:w w:val="95"/>
          <w:sz w:val="32"/>
        </w:rPr>
        <w:t>所有志愿填报完成后，请考生务必仔细检查所填志愿，核 </w:t>
      </w:r>
      <w:r>
        <w:rPr>
          <w:spacing w:val="-5"/>
          <w:sz w:val="32"/>
        </w:rPr>
        <w:t>对无误后方可退出系统。</w:t>
      </w:r>
    </w:p>
    <w:p>
      <w:pPr>
        <w:pStyle w:val="BodyText"/>
        <w:spacing w:line="326" w:lineRule="auto" w:before="3"/>
        <w:ind w:right="269" w:firstLine="674"/>
      </w:pPr>
      <w:r>
        <w:rPr>
          <w:spacing w:val="-5"/>
        </w:rPr>
        <w:t>补录报名平台为考生提供了查询高校补录招生计划和报考</w:t>
      </w:r>
      <w:r>
        <w:rPr>
          <w:spacing w:val="-5"/>
          <w:w w:val="95"/>
        </w:rPr>
        <w:t>人数的功能，考生可在补录报名期间随时查询各高校报考人数信 </w:t>
      </w:r>
      <w:r>
        <w:rPr>
          <w:spacing w:val="-2"/>
        </w:rPr>
        <w:t>息。</w:t>
      </w:r>
    </w:p>
    <w:p>
      <w:pPr>
        <w:pStyle w:val="BodyText"/>
        <w:spacing w:line="328" w:lineRule="auto" w:before="7"/>
        <w:ind w:right="269" w:firstLine="674"/>
        <w:jc w:val="both"/>
      </w:pPr>
      <w:r>
        <w:rPr>
          <w:spacing w:val="-8"/>
          <w:w w:val="95"/>
        </w:rPr>
        <w:t>考生在填报或更改补录专业志愿前，务必认真阅读我校补录 </w:t>
      </w:r>
      <w:r>
        <w:rPr>
          <w:spacing w:val="-5"/>
          <w:w w:val="95"/>
        </w:rPr>
        <w:t>工作公告，确认所学高职（</w:t>
      </w:r>
      <w:r>
        <w:rPr>
          <w:spacing w:val="-3"/>
          <w:w w:val="95"/>
        </w:rPr>
        <w:t>专科</w:t>
      </w:r>
      <w:r>
        <w:rPr>
          <w:spacing w:val="-5"/>
          <w:w w:val="95"/>
        </w:rPr>
        <w:t>）专业是否符合我校关于补录招 生专业的相关要求后，再进行填报或更改志愿。特别是要更改补 录专业志愿的考生，务必在更改前咨询并确认本人专业是否符合 我校的补录专业相关性要求，以免因不符专业相关性要求错失补 </w:t>
      </w:r>
      <w:r>
        <w:rPr>
          <w:spacing w:val="-3"/>
        </w:rPr>
        <w:t>录机会。</w:t>
      </w:r>
    </w:p>
    <w:p>
      <w:pPr>
        <w:pStyle w:val="BodyText"/>
        <w:spacing w:line="326" w:lineRule="auto"/>
        <w:ind w:right="269" w:firstLine="674"/>
      </w:pPr>
      <w:r>
        <w:rPr>
          <w:spacing w:val="-8"/>
          <w:w w:val="95"/>
        </w:rPr>
        <w:t>补录报名截止时间前，考生可多次修改志愿，每次修改后都 </w:t>
      </w:r>
      <w:r>
        <w:rPr>
          <w:spacing w:val="-5"/>
        </w:rPr>
        <w:t>要点击“保存”按钮，以最后一次修改并保存的志愿为准。</w:t>
      </w:r>
    </w:p>
    <w:p>
      <w:pPr>
        <w:pStyle w:val="BodyText"/>
        <w:ind w:left="760"/>
        <w:rPr>
          <w:rFonts w:ascii="黑体" w:eastAsia="黑体" w:hint="eastAsia"/>
        </w:rPr>
      </w:pPr>
      <w:r>
        <w:rPr>
          <w:rFonts w:ascii="黑体" w:eastAsia="黑体" w:hint="eastAsia"/>
        </w:rPr>
        <w:t>四、资料提交及审核</w:t>
      </w:r>
    </w:p>
    <w:p>
      <w:pPr>
        <w:pStyle w:val="BodyText"/>
        <w:spacing w:line="326" w:lineRule="auto" w:before="144"/>
        <w:ind w:right="741" w:firstLine="633"/>
      </w:pPr>
      <w:r>
        <w:rPr/>
        <w:t>8</w:t>
      </w:r>
      <w:r>
        <w:rPr>
          <w:spacing w:val="-59"/>
        </w:rPr>
        <w:t> 月 </w:t>
      </w:r>
      <w:r>
        <w:rPr/>
        <w:t>12</w:t>
      </w:r>
      <w:r>
        <w:rPr>
          <w:spacing w:val="-59"/>
        </w:rPr>
        <w:t> 日 </w:t>
      </w:r>
      <w:r>
        <w:rPr>
          <w:spacing w:val="-3"/>
        </w:rPr>
        <w:t>9:00-12:00</w:t>
      </w:r>
      <w:r>
        <w:rPr>
          <w:spacing w:val="-5"/>
        </w:rPr>
        <w:t>，我校将根据专升本招生简章等， 严格审核报考考生报考条件及专业相关性，并通过补录报名平台对报名考生进行专业审核。</w:t>
      </w:r>
    </w:p>
    <w:p>
      <w:pPr>
        <w:pStyle w:val="BodyText"/>
        <w:spacing w:line="372" w:lineRule="exact"/>
        <w:ind w:left="760"/>
      </w:pPr>
      <w:r>
        <w:rPr/>
        <w:t>8</w:t>
      </w:r>
      <w:r>
        <w:rPr>
          <w:spacing w:val="-59"/>
        </w:rPr>
        <w:t> 月 </w:t>
      </w:r>
      <w:r>
        <w:rPr/>
        <w:t>13</w:t>
      </w:r>
      <w:r>
        <w:rPr>
          <w:spacing w:val="-59"/>
        </w:rPr>
        <w:t> 日 </w:t>
      </w:r>
      <w:r>
        <w:rPr/>
        <w:t>10:00</w:t>
      </w:r>
      <w:r>
        <w:rPr>
          <w:spacing w:val="-18"/>
        </w:rPr>
        <w:t> 前，通过专业审核的考生可登陆补录报名平</w:t>
      </w:r>
    </w:p>
    <w:p>
      <w:pPr>
        <w:spacing w:after="0" w:line="372" w:lineRule="exact"/>
        <w:sectPr>
          <w:pgSz w:w="11910" w:h="16840"/>
          <w:pgMar w:header="0" w:footer="1845" w:top="1580" w:bottom="2040" w:left="1460" w:right="1200"/>
        </w:sect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4"/>
        <w:ind w:left="0"/>
        <w:rPr>
          <w:sz w:val="21"/>
        </w:rPr>
      </w:pPr>
    </w:p>
    <w:p>
      <w:pPr>
        <w:pStyle w:val="BodyText"/>
        <w:spacing w:line="340" w:lineRule="auto" w:before="54"/>
        <w:ind w:right="189"/>
        <w:jc w:val="both"/>
      </w:pPr>
      <w:r>
        <w:rPr>
          <w:spacing w:val="-5"/>
        </w:rPr>
        <w:t>台下载打印《</w:t>
      </w:r>
      <w:r>
        <w:rPr/>
        <w:t>2022</w:t>
      </w:r>
      <w:r>
        <w:rPr>
          <w:spacing w:val="-15"/>
        </w:rPr>
        <w:t> 年湖北省高校普通专升本补录报名申请表》， 8</w:t>
      </w:r>
      <w:r>
        <w:rPr>
          <w:spacing w:val="-11"/>
        </w:rPr>
        <w:t> 月 </w:t>
      </w:r>
      <w:r>
        <w:rPr/>
        <w:t>12</w:t>
      </w:r>
      <w:r>
        <w:rPr>
          <w:spacing w:val="-12"/>
        </w:rPr>
        <w:t> 日 </w:t>
      </w:r>
      <w:r>
        <w:rPr/>
        <w:t>14</w:t>
      </w:r>
      <w:r>
        <w:rPr>
          <w:spacing w:val="-63"/>
        </w:rPr>
        <w:t> ： </w:t>
      </w:r>
      <w:r>
        <w:rPr/>
        <w:t>00-8</w:t>
      </w:r>
      <w:r>
        <w:rPr>
          <w:spacing w:val="-11"/>
        </w:rPr>
        <w:t> 月 </w:t>
      </w:r>
      <w:r>
        <w:rPr/>
        <w:t>13</w:t>
      </w:r>
      <w:r>
        <w:rPr>
          <w:spacing w:val="-12"/>
        </w:rPr>
        <w:t> 日 </w:t>
      </w:r>
      <w:r>
        <w:rPr/>
        <w:t>10</w:t>
      </w:r>
      <w:r>
        <w:rPr>
          <w:spacing w:val="-63"/>
        </w:rPr>
        <w:t> ： </w:t>
      </w:r>
      <w:r>
        <w:rPr/>
        <w:t>00</w:t>
      </w:r>
      <w:r>
        <w:rPr>
          <w:spacing w:val="20"/>
        </w:rPr>
        <w:t> ， 登录我校招生网</w:t>
      </w:r>
    </w:p>
    <w:p>
      <w:pPr>
        <w:pStyle w:val="BodyText"/>
        <w:spacing w:line="338" w:lineRule="auto"/>
        <w:ind w:right="110"/>
      </w:pPr>
      <w:r>
        <w:rPr>
          <w:spacing w:val="-6"/>
        </w:rPr>
        <w:t>（</w:t>
      </w:r>
      <w:hyperlink r:id="rId7">
        <w:r>
          <w:rPr>
            <w:rFonts w:ascii="Times New Roman" w:eastAsia="Times New Roman"/>
            <w:spacing w:val="-6"/>
          </w:rPr>
          <w:t>http://www.hbfs.edu.cn/zs/</w:t>
        </w:r>
      </w:hyperlink>
      <w:r>
        <w:rPr>
          <w:spacing w:val="-6"/>
        </w:rPr>
        <w:t>）</w:t>
      </w:r>
      <w:r>
        <w:rPr>
          <w:spacing w:val="-5"/>
        </w:rPr>
        <w:t>专升本系统核对确认本人身份信息， 并上传资料如下：</w:t>
      </w:r>
    </w:p>
    <w:p>
      <w:pPr>
        <w:spacing w:line="338" w:lineRule="auto" w:before="41"/>
        <w:ind w:left="126" w:right="948" w:firstLine="592"/>
        <w:jc w:val="left"/>
        <w:rPr>
          <w:sz w:val="30"/>
        </w:rPr>
      </w:pPr>
      <w:r>
        <w:rPr>
          <w:spacing w:val="-5"/>
          <w:sz w:val="30"/>
        </w:rPr>
        <w:t>①</w:t>
      </w:r>
      <w:r>
        <w:rPr>
          <w:spacing w:val="-5"/>
          <w:sz w:val="32"/>
        </w:rPr>
        <w:t>《申请表》</w:t>
      </w:r>
      <w:r>
        <w:rPr>
          <w:spacing w:val="-5"/>
          <w:sz w:val="30"/>
        </w:rPr>
        <w:t>电子照片</w:t>
      </w:r>
      <w:r>
        <w:rPr>
          <w:spacing w:val="-3"/>
          <w:sz w:val="30"/>
        </w:rPr>
        <w:t>（JPG</w:t>
      </w:r>
      <w:r>
        <w:rPr>
          <w:spacing w:val="-13"/>
          <w:sz w:val="30"/>
        </w:rPr>
        <w:t> 格式,打印纸质版后手写签名</w:t>
      </w:r>
      <w:r>
        <w:rPr>
          <w:spacing w:val="-4"/>
          <w:sz w:val="30"/>
        </w:rPr>
        <w:t>拍照</w:t>
      </w:r>
      <w:r>
        <w:rPr>
          <w:spacing w:val="-3"/>
          <w:sz w:val="30"/>
        </w:rPr>
        <w:t>）；</w:t>
      </w:r>
    </w:p>
    <w:p>
      <w:pPr>
        <w:spacing w:line="340" w:lineRule="auto" w:before="0"/>
        <w:ind w:left="126" w:right="837" w:firstLine="592"/>
        <w:jc w:val="left"/>
        <w:rPr>
          <w:sz w:val="30"/>
        </w:rPr>
      </w:pPr>
      <w:r>
        <w:rPr>
          <w:spacing w:val="-17"/>
          <w:w w:val="95"/>
          <w:sz w:val="30"/>
        </w:rPr>
        <w:t>②</w:t>
      </w:r>
      <w:r>
        <w:rPr>
          <w:spacing w:val="-7"/>
          <w:w w:val="95"/>
          <w:sz w:val="32"/>
        </w:rPr>
        <w:t>《教育部学历证书电子注册备案表》</w:t>
      </w:r>
      <w:r>
        <w:rPr>
          <w:spacing w:val="-5"/>
          <w:w w:val="95"/>
          <w:sz w:val="30"/>
        </w:rPr>
        <w:t>（登录中国高等教 </w:t>
      </w:r>
      <w:r>
        <w:rPr>
          <w:spacing w:val="7"/>
          <w:sz w:val="30"/>
        </w:rPr>
        <w:t>育学生信息网</w:t>
      </w:r>
      <w:hyperlink r:id="rId8">
        <w:r>
          <w:rPr>
            <w:spacing w:val="-3"/>
            <w:sz w:val="30"/>
          </w:rPr>
          <w:t>http://www.chsi.com.cn/</w:t>
        </w:r>
        <w:r>
          <w:rPr>
            <w:spacing w:val="-4"/>
            <w:sz w:val="30"/>
          </w:rPr>
          <w:t>下载</w:t>
        </w:r>
      </w:hyperlink>
      <w:r>
        <w:rPr>
          <w:spacing w:val="-4"/>
          <w:sz w:val="30"/>
        </w:rPr>
        <w:t>）（JPG</w:t>
      </w:r>
      <w:r>
        <w:rPr>
          <w:spacing w:val="-29"/>
          <w:sz w:val="30"/>
        </w:rPr>
        <w:t> 格式</w:t>
      </w:r>
      <w:r>
        <w:rPr>
          <w:spacing w:val="-3"/>
          <w:sz w:val="30"/>
        </w:rPr>
        <w:t>）；</w:t>
      </w:r>
    </w:p>
    <w:p>
      <w:pPr>
        <w:spacing w:line="403" w:lineRule="exact" w:before="0"/>
        <w:ind w:left="719" w:right="0" w:firstLine="0"/>
        <w:jc w:val="left"/>
        <w:rPr>
          <w:sz w:val="30"/>
        </w:rPr>
      </w:pPr>
      <w:r>
        <w:rPr>
          <w:sz w:val="30"/>
        </w:rPr>
        <w:t>③</w:t>
      </w:r>
      <w:r>
        <w:rPr>
          <w:sz w:val="32"/>
        </w:rPr>
        <w:t>普通全日制专科毕业证书原件照片</w:t>
      </w:r>
      <w:r>
        <w:rPr>
          <w:sz w:val="30"/>
        </w:rPr>
        <w:t>（JPG 格式）；</w:t>
      </w:r>
    </w:p>
    <w:p>
      <w:pPr>
        <w:spacing w:before="148"/>
        <w:ind w:left="760" w:right="0" w:firstLine="0"/>
        <w:jc w:val="left"/>
        <w:rPr>
          <w:sz w:val="32"/>
        </w:rPr>
      </w:pPr>
      <w:r>
        <w:rPr>
          <w:sz w:val="32"/>
        </w:rPr>
        <w:t>④居民身份证双面照片</w:t>
      </w:r>
      <w:r>
        <w:rPr>
          <w:sz w:val="30"/>
        </w:rPr>
        <w:t>（JPG 格式）</w:t>
      </w:r>
      <w:r>
        <w:rPr>
          <w:sz w:val="32"/>
        </w:rPr>
        <w:t>。</w:t>
      </w:r>
    </w:p>
    <w:p>
      <w:pPr>
        <w:pStyle w:val="Heading1"/>
        <w:spacing w:before="151"/>
      </w:pPr>
      <w:r>
        <w:rPr/>
        <w:t>专业审核或资格审核不通过的报名考生直接不予录取。</w:t>
      </w:r>
    </w:p>
    <w:p>
      <w:pPr>
        <w:pStyle w:val="BodyText"/>
        <w:spacing w:line="328" w:lineRule="auto" w:before="150"/>
        <w:ind w:right="269" w:firstLine="600"/>
        <w:jc w:val="both"/>
      </w:pPr>
      <w:r>
        <w:rPr>
          <w:spacing w:val="-5"/>
        </w:rPr>
        <w:t>已在补录报名平台完成网上报名但未在规定时间内发送相关</w:t>
      </w:r>
      <w:r>
        <w:rPr>
          <w:spacing w:val="-5"/>
          <w:w w:val="95"/>
        </w:rPr>
        <w:t>审核资料的考生，视为自动放弃报考资格。考生应如实、准确提 交各项材料，一旦发现伪造、变造有关证件、材料、信息的，将 </w:t>
      </w:r>
      <w:r>
        <w:rPr>
          <w:spacing w:val="-5"/>
        </w:rPr>
        <w:t>取消报考资格或录取资格，由此造成的后果由考生本人负责。</w:t>
      </w:r>
    </w:p>
    <w:p>
      <w:pPr>
        <w:pStyle w:val="BodyText"/>
        <w:spacing w:line="402" w:lineRule="exact"/>
        <w:ind w:left="760"/>
        <w:rPr>
          <w:rFonts w:ascii="黑体" w:eastAsia="黑体" w:hint="eastAsia"/>
        </w:rPr>
      </w:pPr>
      <w:r>
        <w:rPr>
          <w:rFonts w:ascii="黑体" w:eastAsia="黑体" w:hint="eastAsia"/>
        </w:rPr>
        <w:t>五、补录录取</w:t>
      </w:r>
    </w:p>
    <w:p>
      <w:pPr>
        <w:pStyle w:val="BodyText"/>
        <w:spacing w:line="326" w:lineRule="auto" w:before="151"/>
        <w:ind w:right="269" w:firstLine="674"/>
        <w:jc w:val="both"/>
      </w:pPr>
      <w:r>
        <w:rPr>
          <w:spacing w:val="-8"/>
          <w:w w:val="95"/>
        </w:rPr>
        <w:t>退役大学生士兵按第一志愿高校、第二志愿高校进行资格审 </w:t>
      </w:r>
      <w:r>
        <w:rPr>
          <w:spacing w:val="-5"/>
          <w:w w:val="95"/>
        </w:rPr>
        <w:t>核、考查及录取。第一志愿高校录取结束后，由第二志愿高校进 </w:t>
      </w:r>
      <w:r>
        <w:rPr>
          <w:spacing w:val="-9"/>
        </w:rPr>
        <w:t>行专业审核、资格审核、考查及录取。录取时间为 </w:t>
      </w:r>
      <w:r>
        <w:rPr/>
        <w:t>8</w:t>
      </w:r>
      <w:r>
        <w:rPr>
          <w:spacing w:val="-60"/>
        </w:rPr>
        <w:t> 月 </w:t>
      </w:r>
      <w:r>
        <w:rPr/>
        <w:t>14</w:t>
      </w:r>
      <w:r>
        <w:rPr>
          <w:spacing w:val="-30"/>
        </w:rPr>
        <w:t> 日至</w:t>
      </w:r>
    </w:p>
    <w:p>
      <w:pPr>
        <w:pStyle w:val="BodyText"/>
        <w:spacing w:line="326" w:lineRule="auto" w:before="7"/>
        <w:ind w:right="271"/>
        <w:jc w:val="both"/>
      </w:pPr>
      <w:r>
        <w:rPr/>
        <w:t>20</w:t>
      </w:r>
      <w:r>
        <w:rPr>
          <w:spacing w:val="-18"/>
        </w:rPr>
        <w:t> 日。我校退役大学生士兵补录一次性完成，本次补录结束后不</w:t>
      </w:r>
      <w:r>
        <w:rPr>
          <w:spacing w:val="-5"/>
        </w:rPr>
        <w:t>再组织征集志愿。</w:t>
      </w:r>
    </w:p>
    <w:p>
      <w:pPr>
        <w:pStyle w:val="BodyText"/>
        <w:spacing w:before="4"/>
        <w:ind w:left="760"/>
      </w:pPr>
      <w:r>
        <w:rPr/>
        <w:t>志愿填报完成后，学校对第一志愿报考我校的退役大学生士</w:t>
      </w:r>
    </w:p>
    <w:p>
      <w:pPr>
        <w:spacing w:after="0"/>
        <w:sectPr>
          <w:pgSz w:w="11910" w:h="16840"/>
          <w:pgMar w:header="0" w:footer="1845" w:top="1580" w:bottom="2040" w:left="1460" w:right="1200"/>
        </w:sect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1"/>
        <w:ind w:left="0"/>
        <w:rPr>
          <w:sz w:val="24"/>
        </w:rPr>
      </w:pPr>
    </w:p>
    <w:p>
      <w:pPr>
        <w:pStyle w:val="BodyText"/>
        <w:spacing w:line="328" w:lineRule="auto" w:before="54"/>
        <w:ind w:right="269"/>
        <w:jc w:val="both"/>
      </w:pPr>
      <w:r>
        <w:rPr>
          <w:spacing w:val="-5"/>
          <w:w w:val="95"/>
        </w:rPr>
        <w:t>兵考生进行专业审核和考查后进行预录取，并公示补录预录取名 单。第一志愿录取结束后，若计划未完成，学校再进行第二志愿 报考我校的专业审核及相关考查录取工作。请考生密切关注我校 </w:t>
      </w:r>
      <w:r>
        <w:rPr>
          <w:spacing w:val="-5"/>
        </w:rPr>
        <w:t>招生网站相关信息，按照要求做好各项准备。</w:t>
      </w:r>
    </w:p>
    <w:p>
      <w:pPr>
        <w:pStyle w:val="BodyText"/>
        <w:spacing w:line="328" w:lineRule="auto"/>
        <w:ind w:right="269" w:firstLine="674"/>
        <w:jc w:val="both"/>
      </w:pPr>
      <w:r>
        <w:rPr>
          <w:spacing w:val="-8"/>
          <w:w w:val="95"/>
        </w:rPr>
        <w:t>我校根据审核通过的考生情况，若考生人数未超过补录计划 </w:t>
      </w:r>
      <w:r>
        <w:rPr>
          <w:spacing w:val="-5"/>
          <w:w w:val="95"/>
        </w:rPr>
        <w:t>数，直接予以录取。若考生人数超过补录计划数，我校按照招生 简章中退役大学生士兵综合考查有关办法和规定对报名考生组织 相应考查</w:t>
      </w:r>
      <w:r>
        <w:rPr>
          <w:spacing w:val="-3"/>
          <w:w w:val="95"/>
        </w:rPr>
        <w:t>（</w:t>
      </w:r>
      <w:r>
        <w:rPr>
          <w:spacing w:val="-5"/>
          <w:w w:val="95"/>
        </w:rPr>
        <w:t>时间、地点、办法等有关要求具体见附件</w:t>
      </w:r>
      <w:r>
        <w:rPr>
          <w:spacing w:val="-3"/>
          <w:w w:val="95"/>
        </w:rPr>
        <w:t>），按照补 </w:t>
      </w:r>
      <w:r>
        <w:rPr>
          <w:spacing w:val="-5"/>
          <w:w w:val="95"/>
        </w:rPr>
        <w:t>录计划根据补录考查成绩从高分到低分依次录取，并公示预录取 </w:t>
      </w:r>
      <w:r>
        <w:rPr>
          <w:spacing w:val="-3"/>
        </w:rPr>
        <w:t>名单。</w:t>
      </w:r>
    </w:p>
    <w:p>
      <w:pPr>
        <w:pStyle w:val="BodyText"/>
        <w:spacing w:line="400" w:lineRule="exact"/>
        <w:ind w:left="760"/>
        <w:rPr>
          <w:rFonts w:ascii="黑体" w:eastAsia="黑体" w:hint="eastAsia"/>
        </w:rPr>
      </w:pPr>
      <w:r>
        <w:rPr>
          <w:rFonts w:ascii="黑体" w:eastAsia="黑体" w:hint="eastAsia"/>
        </w:rPr>
        <w:t>六、相关要求</w:t>
      </w:r>
    </w:p>
    <w:p>
      <w:pPr>
        <w:pStyle w:val="BodyText"/>
        <w:spacing w:line="328" w:lineRule="auto" w:before="142"/>
        <w:ind w:right="269" w:firstLine="633"/>
        <w:jc w:val="both"/>
      </w:pPr>
      <w:r>
        <w:rPr>
          <w:spacing w:val="-5"/>
          <w:w w:val="95"/>
        </w:rPr>
        <w:t>参加补录报名的考生需如实填报、提交相关材料，根据省教 育厅有关文件精神，资格审查将贯穿报名、录取、报到等工作全 过程。在专升本各工作环节中一旦发现考生有弄虚作假、违规违 </w:t>
      </w:r>
      <w:r>
        <w:rPr>
          <w:spacing w:val="-5"/>
        </w:rPr>
        <w:t>纪行为，一律取消考生报名、录取、报到资格。</w:t>
      </w:r>
    </w:p>
    <w:p>
      <w:pPr>
        <w:pStyle w:val="BodyText"/>
        <w:spacing w:line="405" w:lineRule="exact"/>
        <w:ind w:left="760"/>
        <w:rPr>
          <w:rFonts w:ascii="黑体" w:eastAsia="黑体" w:hint="eastAsia"/>
        </w:rPr>
      </w:pPr>
      <w:r>
        <w:rPr>
          <w:rFonts w:ascii="黑体" w:eastAsia="黑体" w:hint="eastAsia"/>
        </w:rPr>
        <w:t>七、联系方式</w:t>
      </w:r>
    </w:p>
    <w:p>
      <w:pPr>
        <w:pStyle w:val="BodyText"/>
        <w:spacing w:line="338" w:lineRule="auto" w:before="106"/>
        <w:ind w:left="760" w:right="1215"/>
      </w:pPr>
      <w:r>
        <w:rPr>
          <w:spacing w:val="-5"/>
        </w:rPr>
        <w:t>学校专升本工作网址：</w:t>
      </w:r>
      <w:hyperlink r:id="rId7">
        <w:r>
          <w:rPr>
            <w:spacing w:val="-3"/>
          </w:rPr>
          <w:t>http://www.hbfs.edu.cn/zs/ </w:t>
        </w:r>
      </w:hyperlink>
      <w:r>
        <w:rPr>
          <w:spacing w:val="34"/>
        </w:rPr>
        <w:t>咨询</w:t>
      </w:r>
      <w:r>
        <w:rPr/>
        <w:t>QQ</w:t>
      </w:r>
      <w:r>
        <w:rPr>
          <w:spacing w:val="-30"/>
        </w:rPr>
        <w:t> 群：</w:t>
      </w:r>
      <w:r>
        <w:rPr>
          <w:spacing w:val="-3"/>
        </w:rPr>
        <w:t>530707810</w:t>
      </w:r>
    </w:p>
    <w:p>
      <w:pPr>
        <w:pStyle w:val="BodyText"/>
        <w:spacing w:line="340" w:lineRule="auto" w:before="1"/>
        <w:ind w:left="760" w:right="3836"/>
      </w:pPr>
      <w:r>
        <w:rPr/>
        <w:t>联系电话：027-81973723 陈老师投诉电话：027-81977079 汪老师</w:t>
      </w:r>
    </w:p>
    <w:p>
      <w:pPr>
        <w:pStyle w:val="BodyText"/>
        <w:spacing w:before="7"/>
        <w:ind w:left="0"/>
        <w:rPr>
          <w:sz w:val="46"/>
        </w:rPr>
      </w:pPr>
    </w:p>
    <w:p>
      <w:pPr>
        <w:pStyle w:val="BodyText"/>
        <w:ind w:left="757"/>
      </w:pPr>
      <w:r>
        <w:rPr>
          <w:spacing w:val="-25"/>
        </w:rPr>
        <w:t>附件：湖北经济学院法商学院 </w:t>
      </w:r>
      <w:r>
        <w:rPr/>
        <w:t>2022</w:t>
      </w:r>
      <w:r>
        <w:rPr>
          <w:spacing w:val="-12"/>
        </w:rPr>
        <w:t> 年普通专升本退役大学生</w:t>
      </w:r>
    </w:p>
    <w:p>
      <w:pPr>
        <w:spacing w:after="0"/>
        <w:sectPr>
          <w:pgSz w:w="11910" w:h="16840"/>
          <w:pgMar w:header="0" w:footer="1845" w:top="1580" w:bottom="2040" w:left="1460" w:right="1200"/>
        </w:sect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1"/>
        <w:ind w:left="0"/>
        <w:rPr>
          <w:sz w:val="24"/>
        </w:rPr>
      </w:pPr>
    </w:p>
    <w:p>
      <w:pPr>
        <w:pStyle w:val="BodyText"/>
        <w:spacing w:before="54"/>
      </w:pPr>
      <w:r>
        <w:rPr/>
        <w:t>士兵《职业适应性综合考查》方案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2"/>
        <w:ind w:left="0"/>
        <w:rPr>
          <w:sz w:val="15"/>
        </w:rPr>
      </w:pPr>
    </w:p>
    <w:p>
      <w:pPr>
        <w:pStyle w:val="BodyText"/>
        <w:spacing w:line="338" w:lineRule="auto" w:before="55"/>
        <w:ind w:left="5970" w:right="741" w:hanging="632"/>
      </w:pPr>
      <w:r>
        <w:rPr>
          <w:spacing w:val="-6"/>
        </w:rPr>
        <w:t>湖北经济学院法商学院</w:t>
      </w:r>
      <w:r>
        <w:rPr/>
        <w:t>2022</w:t>
      </w:r>
      <w:r>
        <w:rPr>
          <w:spacing w:val="-58"/>
        </w:rPr>
        <w:t> 年 </w:t>
      </w:r>
      <w:r>
        <w:rPr/>
        <w:t>8</w:t>
      </w:r>
      <w:r>
        <w:rPr>
          <w:spacing w:val="-57"/>
        </w:rPr>
        <w:t> 月 </w:t>
      </w:r>
      <w:r>
        <w:rPr/>
        <w:t>5</w:t>
      </w:r>
      <w:r>
        <w:rPr>
          <w:spacing w:val="-42"/>
        </w:rPr>
        <w:t> 日</w:t>
      </w:r>
    </w:p>
    <w:p>
      <w:pPr>
        <w:spacing w:after="0" w:line="338" w:lineRule="auto"/>
        <w:sectPr>
          <w:pgSz w:w="11910" w:h="16840"/>
          <w:pgMar w:header="0" w:footer="1845" w:top="1580" w:bottom="2040" w:left="1460" w:right="1200"/>
        </w:sect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2"/>
        <w:ind w:left="0"/>
        <w:rPr>
          <w:sz w:val="21"/>
        </w:rPr>
      </w:pPr>
    </w:p>
    <w:p>
      <w:pPr>
        <w:spacing w:line="437" w:lineRule="exact" w:before="49"/>
        <w:ind w:left="126" w:right="0" w:firstLine="0"/>
        <w:jc w:val="left"/>
        <w:rPr>
          <w:b/>
          <w:sz w:val="36"/>
        </w:rPr>
      </w:pPr>
      <w:r>
        <w:rPr>
          <w:b/>
          <w:sz w:val="36"/>
        </w:rPr>
        <w:t>附件：</w:t>
      </w:r>
    </w:p>
    <w:p>
      <w:pPr>
        <w:spacing w:line="187" w:lineRule="auto" w:before="81"/>
        <w:ind w:left="2058" w:right="268" w:hanging="1930"/>
        <w:jc w:val="left"/>
        <w:rPr>
          <w:rFonts w:ascii="微软雅黑" w:eastAsia="微软雅黑" w:hint="eastAsia"/>
          <w:sz w:val="36"/>
        </w:rPr>
      </w:pPr>
      <w:r>
        <w:rPr>
          <w:rFonts w:ascii="微软雅黑" w:eastAsia="微软雅黑" w:hint="eastAsia"/>
          <w:spacing w:val="-8"/>
          <w:sz w:val="36"/>
        </w:rPr>
        <w:t>湖北经济学院法商学院 </w:t>
      </w:r>
      <w:r>
        <w:rPr>
          <w:rFonts w:ascii="微软雅黑" w:eastAsia="微软雅黑" w:hint="eastAsia"/>
          <w:sz w:val="36"/>
        </w:rPr>
        <w:t>2022</w:t>
      </w:r>
      <w:r>
        <w:rPr>
          <w:rFonts w:ascii="微软雅黑" w:eastAsia="微软雅黑" w:hint="eastAsia"/>
          <w:spacing w:val="-9"/>
          <w:sz w:val="36"/>
        </w:rPr>
        <w:t> 年普通专升本退役大学生士</w:t>
      </w:r>
      <w:r>
        <w:rPr>
          <w:rFonts w:ascii="微软雅黑" w:eastAsia="微软雅黑" w:hint="eastAsia"/>
          <w:spacing w:val="-5"/>
          <w:sz w:val="36"/>
        </w:rPr>
        <w:t>兵《职业适应性综合考查》方案</w:t>
      </w:r>
    </w:p>
    <w:p>
      <w:pPr>
        <w:pStyle w:val="Heading1"/>
        <w:spacing w:before="191"/>
      </w:pPr>
      <w:r>
        <w:rPr/>
        <w:t>一、指导原则</w:t>
      </w:r>
    </w:p>
    <w:p>
      <w:pPr>
        <w:pStyle w:val="BodyText"/>
        <w:spacing w:before="5"/>
        <w:ind w:left="0"/>
        <w:rPr>
          <w:b/>
          <w:sz w:val="24"/>
        </w:rPr>
      </w:pPr>
    </w:p>
    <w:p>
      <w:pPr>
        <w:pStyle w:val="BodyText"/>
        <w:spacing w:line="338" w:lineRule="auto"/>
        <w:ind w:right="269" w:firstLine="633"/>
        <w:jc w:val="both"/>
      </w:pPr>
      <w:r>
        <w:rPr>
          <w:spacing w:val="-6"/>
          <w:w w:val="95"/>
        </w:rPr>
        <w:t>本次普通专升本退役大学生士兵招生工作，我校严格执行上 </w:t>
      </w:r>
      <w:r>
        <w:rPr>
          <w:spacing w:val="-5"/>
          <w:w w:val="95"/>
        </w:rPr>
        <w:t>级文件规定，按照“公平竞争，公正选拔，公开程序”的原则进 </w:t>
      </w:r>
      <w:r>
        <w:rPr>
          <w:spacing w:val="-2"/>
        </w:rPr>
        <w:t>行。</w:t>
      </w:r>
    </w:p>
    <w:p>
      <w:pPr>
        <w:spacing w:line="338" w:lineRule="auto" w:before="3"/>
        <w:ind w:left="760" w:right="2075" w:firstLine="0"/>
        <w:jc w:val="left"/>
        <w:rPr>
          <w:sz w:val="32"/>
        </w:rPr>
      </w:pPr>
      <w:r>
        <w:rPr>
          <w:b/>
          <w:w w:val="95"/>
          <w:sz w:val="32"/>
        </w:rPr>
        <w:t>二、考试科目名称：</w:t>
      </w:r>
      <w:r>
        <w:rPr>
          <w:w w:val="95"/>
          <w:sz w:val="32"/>
        </w:rPr>
        <w:t>《职业适应性综合考查》</w:t>
      </w:r>
      <w:r>
        <w:rPr>
          <w:b/>
          <w:sz w:val="32"/>
        </w:rPr>
        <w:t>三、考试方式：</w:t>
      </w:r>
      <w:r>
        <w:rPr>
          <w:sz w:val="32"/>
        </w:rPr>
        <w:t>笔试、闭卷</w:t>
      </w:r>
    </w:p>
    <w:p>
      <w:pPr>
        <w:pStyle w:val="Heading1"/>
        <w:spacing w:before="1"/>
      </w:pPr>
      <w:r>
        <w:rPr/>
        <w:t>四、考试时间及要求：</w:t>
      </w:r>
    </w:p>
    <w:p>
      <w:pPr>
        <w:spacing w:line="362" w:lineRule="auto" w:before="181"/>
        <w:ind w:left="126" w:right="268" w:firstLine="592"/>
        <w:jc w:val="both"/>
        <w:rPr>
          <w:sz w:val="30"/>
        </w:rPr>
      </w:pPr>
      <w:r>
        <w:rPr>
          <w:spacing w:val="-8"/>
          <w:sz w:val="30"/>
        </w:rPr>
        <w:t>第一志愿考试时间：</w:t>
      </w:r>
      <w:r>
        <w:rPr>
          <w:spacing w:val="-29"/>
          <w:sz w:val="30"/>
        </w:rPr>
        <w:t>8</w:t>
      </w:r>
      <w:r>
        <w:rPr>
          <w:spacing w:val="-54"/>
          <w:sz w:val="30"/>
        </w:rPr>
        <w:t> 月 </w:t>
      </w:r>
      <w:r>
        <w:rPr>
          <w:sz w:val="30"/>
        </w:rPr>
        <w:t>15</w:t>
      </w:r>
      <w:r>
        <w:rPr>
          <w:spacing w:val="-16"/>
          <w:sz w:val="30"/>
        </w:rPr>
        <w:t> 日上午，考前考生登陆我校招生网打</w:t>
      </w:r>
      <w:r>
        <w:rPr>
          <w:spacing w:val="-10"/>
          <w:sz w:val="30"/>
        </w:rPr>
        <w:t>印本人《准考证》，考试安排详见《准考证》。考生必须持准考证和</w:t>
      </w:r>
      <w:r>
        <w:rPr>
          <w:b/>
          <w:spacing w:val="-5"/>
          <w:sz w:val="30"/>
        </w:rPr>
        <w:t>二代身份证原件</w:t>
      </w:r>
      <w:r>
        <w:rPr>
          <w:spacing w:val="-4"/>
          <w:sz w:val="30"/>
        </w:rPr>
        <w:t>参加考试。</w:t>
      </w:r>
    </w:p>
    <w:p>
      <w:pPr>
        <w:spacing w:line="394" w:lineRule="exact" w:before="0"/>
        <w:ind w:left="760" w:right="0" w:firstLine="0"/>
        <w:jc w:val="left"/>
        <w:rPr>
          <w:sz w:val="32"/>
        </w:rPr>
      </w:pPr>
      <w:r>
        <w:rPr>
          <w:b/>
          <w:sz w:val="32"/>
        </w:rPr>
        <w:t>五、考试地点：</w:t>
      </w:r>
      <w:r>
        <w:rPr>
          <w:sz w:val="32"/>
        </w:rPr>
        <w:t>湖北经济学院法商学院内（武汉市江夏区藏</w:t>
      </w:r>
    </w:p>
    <w:p>
      <w:pPr>
        <w:spacing w:line="340" w:lineRule="auto" w:before="169"/>
        <w:ind w:left="760" w:right="5006" w:hanging="634"/>
        <w:jc w:val="left"/>
        <w:rPr>
          <w:b/>
          <w:sz w:val="32"/>
        </w:rPr>
      </w:pPr>
      <w:r>
        <w:rPr>
          <w:spacing w:val="-13"/>
          <w:sz w:val="32"/>
        </w:rPr>
        <w:t>龙岛开发区杨桥湖大道 </w:t>
      </w:r>
      <w:r>
        <w:rPr>
          <w:rFonts w:ascii="Times New Roman" w:eastAsia="Times New Roman"/>
          <w:sz w:val="32"/>
        </w:rPr>
        <w:t>8 </w:t>
      </w:r>
      <w:r>
        <w:rPr>
          <w:spacing w:val="-3"/>
          <w:sz w:val="32"/>
        </w:rPr>
        <w:t>号</w:t>
      </w:r>
      <w:r>
        <w:rPr>
          <w:sz w:val="32"/>
        </w:rPr>
        <w:t>） </w:t>
      </w:r>
      <w:r>
        <w:rPr>
          <w:b/>
          <w:spacing w:val="-3"/>
          <w:sz w:val="32"/>
        </w:rPr>
        <w:t>六、考查内容大纲</w:t>
      </w:r>
    </w:p>
    <w:p>
      <w:pPr>
        <w:pStyle w:val="BodyText"/>
        <w:spacing w:line="338" w:lineRule="auto"/>
        <w:ind w:right="266" w:firstLine="633"/>
        <w:jc w:val="both"/>
      </w:pPr>
      <w:r>
        <w:rPr>
          <w:spacing w:val="8"/>
          <w:w w:val="95"/>
        </w:rPr>
        <w:t>职业适应性综合考查主要是考查考生对大学生心理健康素 </w:t>
      </w:r>
      <w:r>
        <w:rPr>
          <w:spacing w:val="-23"/>
        </w:rPr>
        <w:t>养、职业素养与道德法治和专业基础知识的掌握和应用，满分 </w:t>
      </w:r>
      <w:r>
        <w:rPr>
          <w:rFonts w:ascii="Times New Roman" w:eastAsia="Times New Roman"/>
          <w:spacing w:val="-2"/>
        </w:rPr>
        <w:t>100 </w:t>
      </w:r>
      <w:r>
        <w:rPr>
          <w:spacing w:val="-5"/>
        </w:rPr>
        <w:t>分，题型为选择题、判断题、简答题、论述题等。</w:t>
      </w:r>
    </w:p>
    <w:p>
      <w:pPr>
        <w:pStyle w:val="ListParagraph"/>
        <w:numPr>
          <w:ilvl w:val="0"/>
          <w:numId w:val="3"/>
        </w:numPr>
        <w:tabs>
          <w:tab w:pos="1560" w:val="left" w:leader="none"/>
        </w:tabs>
        <w:spacing w:line="338" w:lineRule="auto" w:before="0" w:after="0"/>
        <w:ind w:left="126" w:right="269" w:firstLine="633"/>
        <w:jc w:val="both"/>
        <w:rPr>
          <w:sz w:val="32"/>
        </w:rPr>
      </w:pPr>
      <w:r>
        <w:rPr>
          <w:spacing w:val="-1"/>
          <w:sz w:val="32"/>
        </w:rPr>
        <w:t>大学生心理健康素养</w:t>
      </w:r>
      <w:r>
        <w:rPr>
          <w:sz w:val="32"/>
        </w:rPr>
        <w:t>（</w:t>
      </w:r>
      <w:r>
        <w:rPr>
          <w:rFonts w:ascii="Times New Roman" w:eastAsia="Times New Roman"/>
          <w:sz w:val="32"/>
        </w:rPr>
        <w:t>20</w:t>
      </w:r>
      <w:r>
        <w:rPr>
          <w:rFonts w:ascii="Times New Roman" w:eastAsia="Times New Roman"/>
          <w:spacing w:val="-24"/>
          <w:sz w:val="32"/>
        </w:rPr>
        <w:t> </w:t>
      </w:r>
      <w:r>
        <w:rPr>
          <w:sz w:val="32"/>
        </w:rPr>
        <w:t>分）</w:t>
      </w:r>
      <w:r>
        <w:rPr>
          <w:spacing w:val="-1"/>
          <w:sz w:val="32"/>
        </w:rPr>
        <w:t>。考查考生对心理健康</w:t>
      </w:r>
      <w:r>
        <w:rPr>
          <w:spacing w:val="-5"/>
          <w:w w:val="95"/>
          <w:sz w:val="32"/>
        </w:rPr>
        <w:t>知识的了解，以及维护心理健康、预防和应对心理疾病的整体水</w:t>
      </w:r>
    </w:p>
    <w:p>
      <w:pPr>
        <w:spacing w:after="0" w:line="338" w:lineRule="auto"/>
        <w:jc w:val="both"/>
        <w:rPr>
          <w:sz w:val="32"/>
        </w:rPr>
        <w:sectPr>
          <w:pgSz w:w="11910" w:h="16840"/>
          <w:pgMar w:header="0" w:footer="1845" w:top="1580" w:bottom="2040" w:left="1460" w:right="1200"/>
        </w:sect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4"/>
        <w:ind w:left="0"/>
        <w:rPr>
          <w:sz w:val="21"/>
        </w:rPr>
      </w:pPr>
    </w:p>
    <w:p>
      <w:pPr>
        <w:pStyle w:val="BodyText"/>
        <w:spacing w:before="54"/>
      </w:pPr>
      <w:r>
        <w:rPr/>
        <w:t>平。</w:t>
      </w:r>
    </w:p>
    <w:p>
      <w:pPr>
        <w:pStyle w:val="ListParagraph"/>
        <w:numPr>
          <w:ilvl w:val="0"/>
          <w:numId w:val="3"/>
        </w:numPr>
        <w:tabs>
          <w:tab w:pos="1560" w:val="left" w:leader="none"/>
        </w:tabs>
        <w:spacing w:line="338" w:lineRule="auto" w:before="171" w:after="0"/>
        <w:ind w:left="126" w:right="269" w:firstLine="633"/>
        <w:jc w:val="both"/>
        <w:rPr>
          <w:sz w:val="32"/>
        </w:rPr>
      </w:pPr>
      <w:r>
        <w:rPr>
          <w:spacing w:val="-1"/>
          <w:sz w:val="32"/>
        </w:rPr>
        <w:t>职业素养与道德法治</w:t>
      </w:r>
      <w:r>
        <w:rPr>
          <w:sz w:val="32"/>
        </w:rPr>
        <w:t>（</w:t>
      </w:r>
      <w:r>
        <w:rPr>
          <w:rFonts w:ascii="Times New Roman" w:eastAsia="Times New Roman"/>
          <w:sz w:val="32"/>
        </w:rPr>
        <w:t>40</w:t>
      </w:r>
      <w:r>
        <w:rPr>
          <w:rFonts w:ascii="Times New Roman" w:eastAsia="Times New Roman"/>
          <w:spacing w:val="-24"/>
          <w:sz w:val="32"/>
        </w:rPr>
        <w:t> </w:t>
      </w:r>
      <w:r>
        <w:rPr>
          <w:sz w:val="32"/>
        </w:rPr>
        <w:t>分）</w:t>
      </w:r>
      <w:r>
        <w:rPr>
          <w:spacing w:val="-1"/>
          <w:sz w:val="32"/>
        </w:rPr>
        <w:t>。考查考生对时事政治</w:t>
      </w:r>
      <w:r>
        <w:rPr>
          <w:spacing w:val="-5"/>
          <w:w w:val="95"/>
          <w:sz w:val="32"/>
        </w:rPr>
        <w:t>的了解、对法律法规常识的了解，以及选择并从事某种职业的能 </w:t>
      </w:r>
      <w:r>
        <w:rPr>
          <w:spacing w:val="-5"/>
          <w:sz w:val="32"/>
        </w:rPr>
        <w:t>力、社会交往能力、用道德规范约束自己的能力。</w:t>
      </w:r>
    </w:p>
    <w:p>
      <w:pPr>
        <w:pStyle w:val="ListParagraph"/>
        <w:numPr>
          <w:ilvl w:val="0"/>
          <w:numId w:val="3"/>
        </w:numPr>
        <w:tabs>
          <w:tab w:pos="1560" w:val="left" w:leader="none"/>
        </w:tabs>
        <w:spacing w:line="340" w:lineRule="auto" w:before="1" w:after="0"/>
        <w:ind w:left="126" w:right="269" w:firstLine="633"/>
        <w:jc w:val="both"/>
        <w:rPr>
          <w:sz w:val="32"/>
        </w:rPr>
      </w:pPr>
      <w:r>
        <w:rPr>
          <w:spacing w:val="-1"/>
          <w:sz w:val="32"/>
        </w:rPr>
        <w:t>专业基础知识</w:t>
      </w:r>
      <w:r>
        <w:rPr>
          <w:sz w:val="32"/>
        </w:rPr>
        <w:t>（</w:t>
      </w:r>
      <w:r>
        <w:rPr>
          <w:rFonts w:ascii="Times New Roman" w:eastAsia="Times New Roman"/>
          <w:sz w:val="32"/>
        </w:rPr>
        <w:t>40</w:t>
      </w:r>
      <w:r>
        <w:rPr>
          <w:rFonts w:ascii="Times New Roman" w:eastAsia="Times New Roman"/>
          <w:spacing w:val="-22"/>
          <w:sz w:val="32"/>
        </w:rPr>
        <w:t> </w:t>
      </w:r>
      <w:r>
        <w:rPr>
          <w:sz w:val="32"/>
        </w:rPr>
        <w:t>分）</w:t>
      </w:r>
      <w:r>
        <w:rPr>
          <w:spacing w:val="-1"/>
          <w:sz w:val="32"/>
        </w:rPr>
        <w:t>。考查考生报考专业相关的管</w:t>
      </w:r>
      <w:r>
        <w:rPr>
          <w:spacing w:val="-5"/>
          <w:sz w:val="32"/>
        </w:rPr>
        <w:t>理学知识点的掌握及应用能力。</w:t>
      </w:r>
    </w:p>
    <w:p>
      <w:pPr>
        <w:pStyle w:val="Heading1"/>
        <w:spacing w:line="405" w:lineRule="exact"/>
      </w:pPr>
      <w:r>
        <w:rPr/>
        <w:t>七、参考教材目录</w:t>
      </w:r>
    </w:p>
    <w:p>
      <w:pPr>
        <w:pStyle w:val="BodyText"/>
        <w:spacing w:before="7"/>
        <w:ind w:left="0"/>
        <w:rPr>
          <w:b/>
          <w:sz w:val="6"/>
        </w:rPr>
      </w:pPr>
    </w:p>
    <w:tbl>
      <w:tblPr>
        <w:tblW w:w="0" w:type="auto"/>
        <w:jc w:val="left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16"/>
        <w:gridCol w:w="2280"/>
        <w:gridCol w:w="1611"/>
        <w:gridCol w:w="2658"/>
      </w:tblGrid>
      <w:tr>
        <w:trPr>
          <w:trHeight w:val="624" w:hRule="atLeast"/>
        </w:trPr>
        <w:tc>
          <w:tcPr>
            <w:tcW w:w="2016" w:type="dxa"/>
          </w:tcPr>
          <w:p>
            <w:pPr>
              <w:pStyle w:val="TableParagraph"/>
              <w:spacing w:before="172"/>
              <w:ind w:left="575"/>
              <w:jc w:val="left"/>
              <w:rPr>
                <w:rFonts w:ascii="宋体" w:eastAsia="宋体" w:hint="eastAsia"/>
                <w:sz w:val="22"/>
              </w:rPr>
            </w:pPr>
            <w:r>
              <w:rPr>
                <w:rFonts w:ascii="宋体" w:eastAsia="宋体" w:hint="eastAsia"/>
                <w:sz w:val="22"/>
              </w:rPr>
              <w:t>考试科目</w:t>
            </w:r>
          </w:p>
        </w:tc>
        <w:tc>
          <w:tcPr>
            <w:tcW w:w="2280" w:type="dxa"/>
          </w:tcPr>
          <w:p>
            <w:pPr>
              <w:pStyle w:val="TableParagraph"/>
              <w:spacing w:before="172"/>
              <w:ind w:left="132" w:right="118"/>
              <w:rPr>
                <w:rFonts w:ascii="宋体" w:eastAsia="宋体" w:hint="eastAsia"/>
                <w:sz w:val="22"/>
              </w:rPr>
            </w:pPr>
            <w:r>
              <w:rPr>
                <w:rFonts w:ascii="宋体" w:eastAsia="宋体" w:hint="eastAsia"/>
                <w:sz w:val="22"/>
              </w:rPr>
              <w:t>参考教材</w:t>
            </w:r>
          </w:p>
        </w:tc>
        <w:tc>
          <w:tcPr>
            <w:tcW w:w="1611" w:type="dxa"/>
          </w:tcPr>
          <w:p>
            <w:pPr>
              <w:pStyle w:val="TableParagraph"/>
              <w:spacing w:before="172"/>
              <w:ind w:left="123" w:right="112"/>
              <w:rPr>
                <w:rFonts w:ascii="宋体" w:eastAsia="宋体" w:hint="eastAsia"/>
                <w:sz w:val="22"/>
              </w:rPr>
            </w:pPr>
            <w:r>
              <w:rPr>
                <w:rFonts w:ascii="宋体" w:eastAsia="宋体" w:hint="eastAsia"/>
                <w:sz w:val="22"/>
              </w:rPr>
              <w:t>主编</w:t>
            </w:r>
          </w:p>
        </w:tc>
        <w:tc>
          <w:tcPr>
            <w:tcW w:w="2658" w:type="dxa"/>
          </w:tcPr>
          <w:p>
            <w:pPr>
              <w:pStyle w:val="TableParagraph"/>
              <w:spacing w:before="172"/>
              <w:ind w:left="263" w:right="251"/>
              <w:rPr>
                <w:rFonts w:ascii="宋体" w:eastAsia="宋体" w:hint="eastAsia"/>
                <w:sz w:val="22"/>
              </w:rPr>
            </w:pPr>
            <w:r>
              <w:rPr>
                <w:rFonts w:ascii="宋体" w:eastAsia="宋体" w:hint="eastAsia"/>
                <w:sz w:val="22"/>
              </w:rPr>
              <w:t>出版社/出版年份</w:t>
            </w:r>
          </w:p>
        </w:tc>
      </w:tr>
      <w:tr>
        <w:trPr>
          <w:trHeight w:val="1157" w:hRule="atLeast"/>
        </w:trPr>
        <w:tc>
          <w:tcPr>
            <w:tcW w:w="2016" w:type="dxa"/>
            <w:vMerge w:val="restart"/>
          </w:tcPr>
          <w:p>
            <w:pPr>
              <w:pStyle w:val="TableParagraph"/>
              <w:spacing w:before="0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spacing w:before="0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spacing w:line="494" w:lineRule="auto" w:before="173"/>
              <w:ind w:left="899" w:right="75" w:hanging="756"/>
              <w:jc w:val="left"/>
              <w:rPr>
                <w:rFonts w:ascii="宋体" w:eastAsia="宋体" w:hint="eastAsia"/>
                <w:sz w:val="22"/>
              </w:rPr>
            </w:pPr>
            <w:r>
              <w:rPr>
                <w:rFonts w:ascii="宋体" w:eastAsia="宋体" w:hint="eastAsia"/>
                <w:sz w:val="22"/>
              </w:rPr>
              <w:t>职业适应性综合考查</w:t>
            </w:r>
          </w:p>
        </w:tc>
        <w:tc>
          <w:tcPr>
            <w:tcW w:w="2280" w:type="dxa"/>
          </w:tcPr>
          <w:p>
            <w:pPr>
              <w:pStyle w:val="TableParagraph"/>
              <w:spacing w:before="0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spacing w:before="155"/>
              <w:ind w:left="132" w:right="118"/>
              <w:rPr>
                <w:rFonts w:ascii="宋体" w:eastAsia="宋体" w:hint="eastAsia"/>
                <w:sz w:val="22"/>
              </w:rPr>
            </w:pPr>
            <w:r>
              <w:rPr>
                <w:rFonts w:ascii="宋体" w:eastAsia="宋体" w:hint="eastAsia"/>
                <w:sz w:val="22"/>
              </w:rPr>
              <w:t>大学生心理健康素养</w:t>
            </w:r>
          </w:p>
        </w:tc>
        <w:tc>
          <w:tcPr>
            <w:tcW w:w="1611" w:type="dxa"/>
          </w:tcPr>
          <w:p>
            <w:pPr>
              <w:pStyle w:val="TableParagraph"/>
              <w:spacing w:before="0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spacing w:before="155"/>
              <w:ind w:left="123" w:right="112"/>
              <w:rPr>
                <w:rFonts w:ascii="宋体" w:eastAsia="宋体" w:hint="eastAsia"/>
                <w:sz w:val="22"/>
              </w:rPr>
            </w:pPr>
            <w:r>
              <w:rPr>
                <w:rFonts w:ascii="宋体" w:eastAsia="宋体" w:hint="eastAsia"/>
                <w:sz w:val="22"/>
              </w:rPr>
              <w:t>江光荣</w:t>
            </w:r>
          </w:p>
        </w:tc>
        <w:tc>
          <w:tcPr>
            <w:tcW w:w="2658" w:type="dxa"/>
          </w:tcPr>
          <w:p>
            <w:pPr>
              <w:pStyle w:val="TableParagraph"/>
              <w:spacing w:before="149"/>
              <w:ind w:left="263" w:right="249"/>
              <w:rPr>
                <w:rFonts w:ascii="宋体" w:eastAsia="宋体" w:hint="eastAsia"/>
                <w:sz w:val="22"/>
              </w:rPr>
            </w:pPr>
            <w:r>
              <w:rPr>
                <w:rFonts w:ascii="宋体" w:eastAsia="宋体" w:hint="eastAsia"/>
                <w:sz w:val="22"/>
              </w:rPr>
              <w:t>湖南师范大学出版社</w:t>
            </w:r>
          </w:p>
          <w:p>
            <w:pPr>
              <w:pStyle w:val="TableParagraph"/>
              <w:spacing w:before="2"/>
              <w:jc w:val="left"/>
              <w:rPr>
                <w:b/>
                <w:sz w:val="23"/>
              </w:rPr>
            </w:pPr>
          </w:p>
          <w:p>
            <w:pPr>
              <w:pStyle w:val="TableParagraph"/>
              <w:spacing w:before="0"/>
              <w:ind w:left="263" w:right="254"/>
              <w:rPr>
                <w:rFonts w:ascii="宋体"/>
                <w:sz w:val="22"/>
              </w:rPr>
            </w:pPr>
            <w:r>
              <w:rPr>
                <w:rFonts w:ascii="宋体"/>
                <w:sz w:val="22"/>
              </w:rPr>
              <w:t>/2021</w:t>
            </w:r>
          </w:p>
        </w:tc>
      </w:tr>
      <w:tr>
        <w:trPr>
          <w:trHeight w:val="578" w:hRule="atLeast"/>
        </w:trPr>
        <w:tc>
          <w:tcPr>
            <w:tcW w:w="20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80" w:type="dxa"/>
          </w:tcPr>
          <w:p>
            <w:pPr>
              <w:pStyle w:val="TableParagraph"/>
              <w:spacing w:before="150"/>
              <w:ind w:left="132" w:right="118"/>
              <w:rPr>
                <w:rFonts w:ascii="宋体" w:eastAsia="宋体" w:hint="eastAsia"/>
                <w:sz w:val="22"/>
              </w:rPr>
            </w:pPr>
            <w:r>
              <w:rPr>
                <w:rFonts w:ascii="宋体" w:eastAsia="宋体" w:hint="eastAsia"/>
                <w:sz w:val="22"/>
              </w:rPr>
              <w:t>思想道德与法治</w:t>
            </w:r>
          </w:p>
        </w:tc>
        <w:tc>
          <w:tcPr>
            <w:tcW w:w="1611" w:type="dxa"/>
          </w:tcPr>
          <w:p>
            <w:pPr>
              <w:pStyle w:val="TableParagraph"/>
              <w:spacing w:before="150"/>
              <w:ind w:left="128" w:right="112"/>
              <w:rPr>
                <w:rFonts w:ascii="宋体" w:eastAsia="宋体" w:hint="eastAsia"/>
                <w:sz w:val="22"/>
              </w:rPr>
            </w:pPr>
            <w:r>
              <w:rPr>
                <w:rFonts w:ascii="宋体" w:eastAsia="宋体" w:hint="eastAsia"/>
                <w:sz w:val="22"/>
              </w:rPr>
              <w:t>沈壮海、王易</w:t>
            </w:r>
          </w:p>
        </w:tc>
        <w:tc>
          <w:tcPr>
            <w:tcW w:w="2658" w:type="dxa"/>
          </w:tcPr>
          <w:p>
            <w:pPr>
              <w:pStyle w:val="TableParagraph"/>
              <w:spacing w:before="150"/>
              <w:ind w:left="263" w:right="254"/>
              <w:rPr>
                <w:rFonts w:ascii="宋体" w:eastAsia="宋体" w:hint="eastAsia"/>
                <w:sz w:val="22"/>
              </w:rPr>
            </w:pPr>
            <w:r>
              <w:rPr>
                <w:rFonts w:ascii="宋体" w:eastAsia="宋体" w:hint="eastAsia"/>
                <w:sz w:val="22"/>
              </w:rPr>
              <w:t>高等教育出版社/2021</w:t>
            </w:r>
          </w:p>
        </w:tc>
      </w:tr>
      <w:tr>
        <w:trPr>
          <w:trHeight w:val="578" w:hRule="atLeast"/>
        </w:trPr>
        <w:tc>
          <w:tcPr>
            <w:tcW w:w="20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80" w:type="dxa"/>
          </w:tcPr>
          <w:p>
            <w:pPr>
              <w:pStyle w:val="TableParagraph"/>
              <w:spacing w:before="149"/>
              <w:ind w:left="132" w:right="118"/>
              <w:rPr>
                <w:rFonts w:ascii="宋体" w:eastAsia="宋体" w:hint="eastAsia"/>
                <w:sz w:val="22"/>
              </w:rPr>
            </w:pPr>
            <w:r>
              <w:rPr>
                <w:rFonts w:ascii="宋体" w:eastAsia="宋体" w:hint="eastAsia"/>
                <w:sz w:val="22"/>
              </w:rPr>
              <w:t>管理学</w:t>
            </w:r>
          </w:p>
        </w:tc>
        <w:tc>
          <w:tcPr>
            <w:tcW w:w="1611" w:type="dxa"/>
          </w:tcPr>
          <w:p>
            <w:pPr>
              <w:pStyle w:val="TableParagraph"/>
              <w:spacing w:before="149"/>
              <w:ind w:left="128" w:right="112"/>
              <w:rPr>
                <w:rFonts w:ascii="宋体" w:eastAsia="宋体" w:hint="eastAsia"/>
                <w:sz w:val="22"/>
              </w:rPr>
            </w:pPr>
            <w:r>
              <w:rPr>
                <w:rFonts w:ascii="宋体" w:eastAsia="宋体" w:hint="eastAsia"/>
                <w:sz w:val="22"/>
              </w:rPr>
              <w:t>鲍升华、赵玮</w:t>
            </w:r>
          </w:p>
        </w:tc>
        <w:tc>
          <w:tcPr>
            <w:tcW w:w="2658" w:type="dxa"/>
          </w:tcPr>
          <w:p>
            <w:pPr>
              <w:pStyle w:val="TableParagraph"/>
              <w:spacing w:before="149"/>
              <w:ind w:left="263" w:right="254"/>
              <w:rPr>
                <w:rFonts w:ascii="宋体" w:eastAsia="宋体" w:hint="eastAsia"/>
                <w:sz w:val="22"/>
              </w:rPr>
            </w:pPr>
            <w:r>
              <w:rPr>
                <w:rFonts w:ascii="宋体" w:eastAsia="宋体" w:hint="eastAsia"/>
                <w:sz w:val="22"/>
              </w:rPr>
              <w:t>湖北人民出版社/2018</w:t>
            </w:r>
          </w:p>
        </w:tc>
      </w:tr>
    </w:tbl>
    <w:p>
      <w:pPr>
        <w:spacing w:before="84"/>
        <w:ind w:left="760" w:right="0" w:firstLine="0"/>
        <w:jc w:val="left"/>
        <w:rPr>
          <w:b/>
          <w:sz w:val="32"/>
        </w:rPr>
      </w:pPr>
      <w:r>
        <w:rPr>
          <w:b/>
          <w:sz w:val="32"/>
        </w:rPr>
        <w:t>八、考试组织</w:t>
      </w:r>
    </w:p>
    <w:p>
      <w:pPr>
        <w:pStyle w:val="ListParagraph"/>
        <w:numPr>
          <w:ilvl w:val="0"/>
          <w:numId w:val="4"/>
        </w:numPr>
        <w:tabs>
          <w:tab w:pos="1567" w:val="left" w:leader="none"/>
        </w:tabs>
        <w:spacing w:line="338" w:lineRule="auto" w:before="171" w:after="0"/>
        <w:ind w:left="126" w:right="269" w:firstLine="633"/>
        <w:jc w:val="both"/>
        <w:rPr>
          <w:sz w:val="32"/>
        </w:rPr>
      </w:pPr>
      <w:r>
        <w:rPr>
          <w:spacing w:val="-7"/>
          <w:sz w:val="32"/>
        </w:rPr>
        <w:t>每场考试前，考生应提前 </w:t>
      </w:r>
      <w:r>
        <w:rPr>
          <w:rFonts w:ascii="Times New Roman" w:eastAsia="Times New Roman"/>
          <w:sz w:val="32"/>
        </w:rPr>
        <w:t>1</w:t>
      </w:r>
      <w:r>
        <w:rPr>
          <w:rFonts w:ascii="Times New Roman" w:eastAsia="Times New Roman"/>
          <w:spacing w:val="5"/>
          <w:sz w:val="32"/>
        </w:rPr>
        <w:t> </w:t>
      </w:r>
      <w:r>
        <w:rPr>
          <w:sz w:val="32"/>
        </w:rPr>
        <w:t>小时到达检验区，按照学</w:t>
      </w:r>
      <w:r>
        <w:rPr>
          <w:spacing w:val="-5"/>
          <w:w w:val="95"/>
          <w:sz w:val="32"/>
        </w:rPr>
        <w:t>校疫情防控指挥部要求，进行入场前检测与人证合一检验。具体 </w:t>
      </w:r>
      <w:r>
        <w:rPr>
          <w:spacing w:val="-5"/>
          <w:sz w:val="32"/>
        </w:rPr>
        <w:t>防疫要求以通知为准。</w:t>
      </w:r>
    </w:p>
    <w:p>
      <w:pPr>
        <w:pStyle w:val="ListParagraph"/>
        <w:numPr>
          <w:ilvl w:val="0"/>
          <w:numId w:val="4"/>
        </w:numPr>
        <w:tabs>
          <w:tab w:pos="1553" w:val="left" w:leader="none"/>
        </w:tabs>
        <w:spacing w:line="338" w:lineRule="auto" w:before="1" w:after="0"/>
        <w:ind w:left="126" w:right="269" w:firstLine="633"/>
        <w:jc w:val="both"/>
        <w:rPr>
          <w:sz w:val="32"/>
        </w:rPr>
      </w:pPr>
      <w:r>
        <w:rPr>
          <w:spacing w:val="-9"/>
          <w:sz w:val="32"/>
        </w:rPr>
        <w:t>考生在入场检测时发现有发热等相应症状的，学校根</w:t>
      </w:r>
      <w:r>
        <w:rPr>
          <w:spacing w:val="-5"/>
          <w:w w:val="95"/>
          <w:sz w:val="32"/>
        </w:rPr>
        <w:t>据要求安排其进入专用考场考试，拒不服从安排者，学校可终止 </w:t>
      </w:r>
      <w:r>
        <w:rPr>
          <w:spacing w:val="-4"/>
          <w:sz w:val="32"/>
        </w:rPr>
        <w:t>其考试资格。</w:t>
      </w:r>
    </w:p>
    <w:p>
      <w:pPr>
        <w:pStyle w:val="ListParagraph"/>
        <w:numPr>
          <w:ilvl w:val="0"/>
          <w:numId w:val="4"/>
        </w:numPr>
        <w:tabs>
          <w:tab w:pos="1553" w:val="left" w:leader="none"/>
        </w:tabs>
        <w:spacing w:line="338" w:lineRule="auto" w:before="3" w:after="0"/>
        <w:ind w:left="126" w:right="269" w:firstLine="633"/>
        <w:jc w:val="left"/>
        <w:rPr>
          <w:sz w:val="32"/>
        </w:rPr>
      </w:pPr>
      <w:r>
        <w:rPr>
          <w:spacing w:val="-14"/>
          <w:sz w:val="32"/>
        </w:rPr>
        <w:t>考生应诚信应考。如有违规违纪行为，学校将参照国</w:t>
      </w:r>
      <w:r>
        <w:rPr>
          <w:spacing w:val="-5"/>
          <w:w w:val="95"/>
          <w:sz w:val="32"/>
        </w:rPr>
        <w:t>家教育考试相关法律法规和学生管理规定进行处理，并将结果通 </w:t>
      </w:r>
      <w:r>
        <w:rPr>
          <w:sz w:val="32"/>
        </w:rPr>
        <w:t>报</w:t>
      </w:r>
    </w:p>
    <w:p>
      <w:pPr>
        <w:spacing w:after="0" w:line="338" w:lineRule="auto"/>
        <w:jc w:val="left"/>
        <w:rPr>
          <w:sz w:val="32"/>
        </w:rPr>
        <w:sectPr>
          <w:pgSz w:w="11910" w:h="16840"/>
          <w:pgMar w:header="0" w:footer="1845" w:top="1580" w:bottom="2040" w:left="1460" w:right="1200"/>
        </w:sect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  <w:spacing w:line="340" w:lineRule="auto" w:before="64"/>
        <w:ind w:right="110"/>
      </w:pPr>
      <w:r>
        <w:rPr>
          <w:spacing w:val="-21"/>
        </w:rPr>
        <w:t>生源学校。对缺考科目或违纪科目，该门课程试卷成绩以 </w:t>
      </w:r>
      <w:r>
        <w:rPr>
          <w:rFonts w:ascii="Times New Roman" w:eastAsia="Times New Roman"/>
        </w:rPr>
        <w:t>0 </w:t>
      </w:r>
      <w:r>
        <w:rPr>
          <w:spacing w:val="-3"/>
        </w:rPr>
        <w:t>分计。</w:t>
      </w:r>
      <w:r>
        <w:rPr>
          <w:spacing w:val="-5"/>
        </w:rPr>
        <w:t>缺考或违纪考生取消其录取资格。</w:t>
      </w:r>
    </w:p>
    <w:p>
      <w:pPr>
        <w:pStyle w:val="Heading1"/>
        <w:spacing w:line="405" w:lineRule="exact"/>
      </w:pPr>
      <w:r>
        <w:rPr/>
        <w:t>九、成绩公布及复核</w:t>
      </w:r>
    </w:p>
    <w:p>
      <w:pPr>
        <w:pStyle w:val="BodyText"/>
        <w:spacing w:line="338" w:lineRule="auto" w:before="168"/>
        <w:ind w:right="269" w:firstLine="633"/>
        <w:jc w:val="both"/>
      </w:pPr>
      <w:r>
        <w:rPr>
          <w:spacing w:val="-6"/>
          <w:w w:val="95"/>
        </w:rPr>
        <w:t>学校将在招生网专升本系统开放成绩查询。考生对成绩有异 </w:t>
      </w:r>
      <w:r>
        <w:rPr>
          <w:spacing w:val="-5"/>
          <w:w w:val="95"/>
        </w:rPr>
        <w:t>议需申请复核者，复核流程届时见学校招生网。复核结果无误， 由工作人员通知学生本人；复核如发现问题，学校将通过招生网 </w:t>
      </w:r>
      <w:r>
        <w:rPr>
          <w:spacing w:val="-5"/>
        </w:rPr>
        <w:t>公示复核结果并通知学生本人。</w:t>
      </w:r>
    </w:p>
    <w:sectPr>
      <w:pgSz w:w="11910" w:h="16840"/>
      <w:pgMar w:header="0" w:footer="1845" w:top="1580" w:bottom="2040" w:left="1460" w:right="1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仿宋">
    <w:altName w:val="仿宋"/>
    <w:charset w:val="86"/>
    <w:family w:val="modern"/>
    <w:pitch w:val="fixed"/>
  </w:font>
  <w:font w:name="宋体">
    <w:altName w:val="宋体"/>
    <w:charset w:val="86"/>
    <w:family w:val="auto"/>
    <w:pitch w:val="variable"/>
  </w:font>
  <w:font w:name="黑体">
    <w:altName w:val="黑体"/>
    <w:charset w:val="86"/>
    <w:family w:val="modern"/>
    <w:pitch w:val="fixed"/>
  </w:font>
  <w:font w:name="微软雅黑">
    <w:altName w:val="微软雅黑"/>
    <w:charset w:val="86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81.839996pt;margin-top:738.655823pt;width:37.2pt;height:16.2pt;mso-position-horizontal-relative:page;mso-position-vertical-relative:page;z-index:-252060672" type="#_x0000_t202" filled="false" stroked="false">
          <v:textbox inset="0,0,0,0">
            <w:txbxContent>
              <w:p>
                <w:pPr>
                  <w:spacing w:line="323" w:lineRule="exact" w:before="0"/>
                  <w:ind w:left="20" w:right="0" w:firstLine="0"/>
                  <w:jc w:val="left"/>
                  <w:rPr>
                    <w:b/>
                    <w:sz w:val="28"/>
                  </w:rPr>
                </w:pPr>
                <w:r>
                  <w:rPr>
                    <w:b/>
                    <w:sz w:val="28"/>
                  </w:rPr>
                  <w:t>—</w:t>
                </w:r>
                <w:r>
                  <w:rPr/>
                  <w:fldChar w:fldCharType="begin"/>
                </w:r>
                <w:r>
                  <w:rPr>
                    <w:b/>
                    <w:sz w:val="28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  <w:r>
                  <w:rPr>
                    <w:b/>
                    <w:sz w:val="28"/>
                  </w:rPr>
                  <w:t>—</w:t>
                </w:r>
              </w:p>
            </w:txbxContent>
          </v:textbox>
          <w10:wrap type="none"/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1"/>
      <w:numFmt w:val="decimal"/>
      <w:lvlText w:val="（%1）"/>
      <w:lvlJc w:val="left"/>
      <w:pPr>
        <w:ind w:left="126" w:hanging="800"/>
        <w:jc w:val="left"/>
      </w:pPr>
      <w:rPr>
        <w:rFonts w:hint="default" w:ascii="仿宋" w:hAnsi="仿宋" w:eastAsia="仿宋" w:cs="仿宋"/>
        <w:spacing w:val="-5"/>
        <w:w w:val="99"/>
        <w:sz w:val="30"/>
        <w:szCs w:val="30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032" w:hanging="800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945" w:hanging="800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857" w:hanging="800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3770" w:hanging="800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4683" w:hanging="800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5595" w:hanging="800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6508" w:hanging="800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7420" w:hanging="800"/>
      </w:pPr>
      <w:rPr>
        <w:rFonts w:hint="default"/>
        <w:lang w:val="zh-CN" w:eastAsia="zh-CN" w:bidi="zh-CN"/>
      </w:rPr>
    </w:lvl>
  </w:abstractNum>
  <w:abstractNum w:abstractNumId="3">
    <w:multiLevelType w:val="hybridMultilevel"/>
    <w:lvl w:ilvl="0">
      <w:start w:val="1"/>
      <w:numFmt w:val="decimal"/>
      <w:lvlText w:val="（%1）"/>
      <w:lvlJc w:val="left"/>
      <w:pPr>
        <w:ind w:left="126" w:hanging="807"/>
        <w:jc w:val="left"/>
      </w:pPr>
      <w:rPr>
        <w:rFonts w:hint="default" w:ascii="仿宋" w:hAnsi="仿宋" w:eastAsia="仿宋" w:cs="仿宋"/>
        <w:spacing w:val="2"/>
        <w:w w:val="99"/>
        <w:sz w:val="30"/>
        <w:szCs w:val="30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032" w:hanging="807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945" w:hanging="807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857" w:hanging="807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3770" w:hanging="807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4683" w:hanging="807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5595" w:hanging="807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6508" w:hanging="807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7420" w:hanging="807"/>
      </w:pPr>
      <w:rPr>
        <w:rFonts w:hint="default"/>
        <w:lang w:val="zh-CN" w:eastAsia="zh-CN" w:bidi="zh-CN"/>
      </w:rPr>
    </w:lvl>
  </w:abstractNum>
  <w:abstractNum w:abstractNumId="1">
    <w:multiLevelType w:val="hybridMultilevel"/>
    <w:lvl w:ilvl="0">
      <w:start w:val="1"/>
      <w:numFmt w:val="decimal"/>
      <w:lvlText w:val="%1."/>
      <w:lvlJc w:val="left"/>
      <w:pPr>
        <w:ind w:left="126" w:hanging="322"/>
        <w:jc w:val="left"/>
      </w:pPr>
      <w:rPr>
        <w:rFonts w:hint="default" w:ascii="仿宋" w:hAnsi="仿宋" w:eastAsia="仿宋" w:cs="仿宋"/>
        <w:spacing w:val="-2"/>
        <w:w w:val="99"/>
        <w:sz w:val="30"/>
        <w:szCs w:val="30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032" w:hanging="322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945" w:hanging="322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857" w:hanging="322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3770" w:hanging="322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4683" w:hanging="322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5595" w:hanging="322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6508" w:hanging="322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7420" w:hanging="322"/>
      </w:pPr>
      <w:rPr>
        <w:rFonts w:hint="default"/>
        <w:lang w:val="zh-CN" w:eastAsia="zh-CN" w:bidi="zh-CN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126" w:hanging="329"/>
        <w:jc w:val="left"/>
      </w:pPr>
      <w:rPr>
        <w:rFonts w:hint="default" w:ascii="仿宋" w:hAnsi="仿宋" w:eastAsia="仿宋" w:cs="仿宋"/>
        <w:spacing w:val="-2"/>
        <w:w w:val="99"/>
        <w:sz w:val="30"/>
        <w:szCs w:val="30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032" w:hanging="32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945" w:hanging="32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857" w:hanging="32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3770" w:hanging="32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4683" w:hanging="32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5595" w:hanging="32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6508" w:hanging="32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7420" w:hanging="329"/>
      </w:pPr>
      <w:rPr>
        <w:rFonts w:hint="default"/>
        <w:lang w:val="zh-CN" w:eastAsia="zh-CN" w:bidi="zh-CN"/>
      </w:rPr>
    </w:lvl>
  </w:abstractNum>
  <w:num w:numId="3">
    <w:abstractNumId w:val="2"/>
  </w:num>
  <w:num w:numId="4">
    <w:abstractNumId w:val="3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仿宋" w:hAnsi="仿宋" w:eastAsia="仿宋" w:cs="仿宋"/>
      <w:lang w:val="zh-CN" w:eastAsia="zh-CN" w:bidi="zh-CN"/>
    </w:rPr>
  </w:style>
  <w:style w:styleId="BodyText" w:type="paragraph">
    <w:name w:val="Body Text"/>
    <w:basedOn w:val="Normal"/>
    <w:uiPriority w:val="1"/>
    <w:qFormat/>
    <w:pPr>
      <w:ind w:left="126"/>
    </w:pPr>
    <w:rPr>
      <w:rFonts w:ascii="仿宋" w:hAnsi="仿宋" w:eastAsia="仿宋" w:cs="仿宋"/>
      <w:sz w:val="32"/>
      <w:szCs w:val="32"/>
      <w:lang w:val="zh-CN" w:eastAsia="zh-CN" w:bidi="zh-CN"/>
    </w:rPr>
  </w:style>
  <w:style w:styleId="Heading1" w:type="paragraph">
    <w:name w:val="Heading 1"/>
    <w:basedOn w:val="Normal"/>
    <w:uiPriority w:val="1"/>
    <w:qFormat/>
    <w:pPr>
      <w:ind w:left="760"/>
      <w:outlineLvl w:val="1"/>
    </w:pPr>
    <w:rPr>
      <w:rFonts w:ascii="仿宋" w:hAnsi="仿宋" w:eastAsia="仿宋" w:cs="仿宋"/>
      <w:b/>
      <w:bCs/>
      <w:sz w:val="32"/>
      <w:szCs w:val="32"/>
      <w:lang w:val="zh-CN" w:eastAsia="zh-CN" w:bidi="zh-CN"/>
    </w:rPr>
  </w:style>
  <w:style w:styleId="ListParagraph" w:type="paragraph">
    <w:name w:val="List Paragraph"/>
    <w:basedOn w:val="Normal"/>
    <w:uiPriority w:val="1"/>
    <w:qFormat/>
    <w:pPr>
      <w:ind w:left="126" w:right="269" w:firstLine="633"/>
    </w:pPr>
    <w:rPr>
      <w:rFonts w:ascii="仿宋" w:hAnsi="仿宋" w:eastAsia="仿宋" w:cs="仿宋"/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spacing w:before="46"/>
      <w:jc w:val="center"/>
    </w:pPr>
    <w:rPr>
      <w:rFonts w:ascii="仿宋" w:hAnsi="仿宋" w:eastAsia="仿宋" w:cs="仿宋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hyperlink" Target="http://zsb.e21.cn/" TargetMode="External"/><Relationship Id="rId7" Type="http://schemas.openxmlformats.org/officeDocument/2006/relationships/hyperlink" Target="http://www.hbfs.edu.cn/zs/" TargetMode="External"/><Relationship Id="rId8" Type="http://schemas.openxmlformats.org/officeDocument/2006/relationships/hyperlink" Target="http://www.chsi.com.cn/%E4%B8%8B%E8%BD%BD" TargetMode="External"/><Relationship Id="rId9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会飞的蜗牛</dc:creator>
  <dcterms:created xsi:type="dcterms:W3CDTF">2022-08-05T11:26:02Z</dcterms:created>
  <dcterms:modified xsi:type="dcterms:W3CDTF">2022-08-05T11:26:02Z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2022-08-05T00:00:00Z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2022-08-05T00:00:00Z</vt:filetime>
  </property>
</Properties>
</file>