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line="495" w:lineRule="atLeast"/>
        <w:ind w:left="0" w:firstLine="0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附件：</w:t>
      </w:r>
      <w:r>
        <w:rPr>
          <w:rStyle w:val="5"/>
          <w:rFonts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武汉轻工大学</w:t>
      </w:r>
      <w:r>
        <w:rPr>
          <w:rStyle w:val="5"/>
          <w:rFonts w:hint="default" w:ascii="仿宋_GB2312" w:hAnsi="宋体" w:eastAsia="仿宋_GB2312" w:cs="仿宋_GB2312"/>
          <w:i w:val="0"/>
          <w:iCs w:val="0"/>
          <w:caps w:val="0"/>
          <w:color w:val="000000"/>
          <w:spacing w:val="0"/>
          <w:sz w:val="31"/>
          <w:szCs w:val="31"/>
          <w:shd w:val="clear" w:fill="FFFFFF"/>
        </w:rPr>
        <w:t>2022年普通专升本补录招生专业对高职（专科）专业的报考范围要求</w:t>
      </w:r>
    </w:p>
    <w:tbl>
      <w:tblPr>
        <w:tblW w:w="943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565"/>
        <w:gridCol w:w="68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253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本科招生专业</w:t>
            </w:r>
          </w:p>
        </w:tc>
        <w:tc>
          <w:tcPr>
            <w:tcW w:w="69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高职（专科）专业的报考范围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tblCellSpacing w:w="0" w:type="dxa"/>
        </w:trPr>
        <w:tc>
          <w:tcPr>
            <w:tcW w:w="25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视觉传达设计</w:t>
            </w:r>
          </w:p>
        </w:tc>
        <w:tc>
          <w:tcPr>
            <w:tcW w:w="6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95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产品艺术设计，动漫设计，风景园林设计，服装设计与工艺，服装与服饰设计，工艺美术品设计，广告设计与制作，环境艺术设计，家具艺术设计，建筑动画与模型制作，建筑设计，建筑室内设计，建筑装饰工程技术，人物形象设计，摄影与摄像艺术，视觉传播设计与制作，室内艺术设计，首饰设计与工艺，数字媒体艺术设计，文物修复与保护，艺术设计，影视动画，游戏设计，展示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tblCellSpacing w:w="0" w:type="dxa"/>
        </w:trPr>
        <w:tc>
          <w:tcPr>
            <w:tcW w:w="25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环境设计</w:t>
            </w:r>
          </w:p>
        </w:tc>
        <w:tc>
          <w:tcPr>
            <w:tcW w:w="6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95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产品艺术设计，动漫设计，风景园林设计，服装设计与工艺，服装与服饰设计，工艺美术品设计，广告设计与制作，环境艺术设计，家具艺术设计，建筑动画与模型制作，建筑设计，建筑室内设计，建筑装饰工程技术，人物形象设计，摄影与摄像艺术，视觉传播设计与制作，室内艺术设计，首饰设计与工艺，数字媒体艺术设计，文物修复与保护，艺术设计，影视动画，游戏设计，展示艺术设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20" w:hRule="atLeast"/>
          <w:tblCellSpacing w:w="0" w:type="dxa"/>
        </w:trPr>
        <w:tc>
          <w:tcPr>
            <w:tcW w:w="253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noWrap/>
            <w:tcMar>
              <w:bottom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95" w:lineRule="atLeast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产品设计</w:t>
            </w:r>
          </w:p>
        </w:tc>
        <w:tc>
          <w:tcPr>
            <w:tcW w:w="69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495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产品艺术设计，动漫设计，风景园林设计，服装设计与工艺，服装与服饰设计，工艺美术品设计，广告设计与制作，环境艺术设计，家具艺术设计，建筑动画与模型制作，建筑设计，建筑室内设计，建筑装饰工程技术，人物形象设计，摄影与摄像艺术，视觉传播设计与制作，室内艺术设计，首饰设计与工艺，数字媒体艺术设计，文物修复与保护，艺术设计，影视动画，游戏设计，展示艺术设计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12CE6A46"/>
    <w:rsid w:val="12CE6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2022-08-05T11:02:00Z</dcterms:created>
  <dc:creator>武汉易学堂</dc:creator>
  <cp:lastModifiedBy>武汉易学堂</cp:lastModifiedBy>
  <dcterms:modified xsi:type="dcterms:W3CDTF">2022-08-05T11:03:04Z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AC5344EAE149430489EF64EC1ED1B0B8</vt:lpwstr>
  </property>
</Properties>
</file>