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spacing w:lineRule="exact" w:line="480"/>
        <w:jc w:val="left"/>
        <w:rPr>
          <w:rFonts w:ascii="方正小标宋简体" w:eastAsia="方正小标宋简体" w:hAnsi="仿宋"/>
          <w:color w:val="000000"/>
          <w:kern w:val="0"/>
          <w:sz w:val="40"/>
          <w:szCs w:val="40"/>
        </w:rPr>
      </w:pPr>
      <w:bookmarkStart w:id="0" w:name="_GoBack"/>
      <w:bookmarkEnd w:id="0"/>
      <w:r>
        <w:rPr>
          <w:rFonts w:ascii="方正小标宋简体" w:eastAsia="方正小标宋简体" w:hAnsi="仿宋" w:hint="eastAsia"/>
          <w:color w:val="000000"/>
          <w:kern w:val="0"/>
          <w:sz w:val="40"/>
          <w:szCs w:val="40"/>
        </w:rPr>
        <w:t>汉口学院202</w:t>
      </w:r>
      <w:r>
        <w:rPr>
          <w:rFonts w:ascii="方正小标宋简体" w:eastAsia="方正小标宋简体" w:hAnsi="仿宋"/>
          <w:color w:val="000000"/>
          <w:kern w:val="0"/>
          <w:sz w:val="40"/>
          <w:szCs w:val="40"/>
        </w:rPr>
        <w:t>4</w:t>
      </w:r>
      <w:r>
        <w:rPr>
          <w:rFonts w:ascii="方正小标宋简体" w:eastAsia="方正小标宋简体" w:hAnsi="仿宋" w:hint="eastAsia"/>
          <w:color w:val="000000"/>
          <w:kern w:val="0"/>
          <w:sz w:val="40"/>
          <w:szCs w:val="40"/>
        </w:rPr>
        <w:t>年普通专升本报考专业参照一览表</w:t>
      </w:r>
    </w:p>
    <w:tbl>
      <w:tblPr>
        <w:tblStyle w:val="style105"/>
        <w:tblpPr w:leftFromText="180" w:rightFromText="180" w:topFromText="0" w:bottomFromText="0" w:vertAnchor="page" w:horzAnchor="margin" w:tblpXSpec="left" w:tblpY="2296"/>
        <w:tblW w:w="8472" w:type="dxa"/>
        <w:tblInd w:w="0" w:type="dxa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0"/>
        <w:gridCol w:w="6842"/>
      </w:tblGrid>
      <w:tr>
        <w:trPr>
          <w:trHeight w:val="851" w:hRule="atLeast"/>
        </w:trPr>
        <w:tc>
          <w:tcPr>
            <w:tcW w:w="1630" w:type="dxa"/>
            <w:tcBorders/>
            <w:shd w:val="clear" w:color="auto" w:fill="auto"/>
            <w:noWrap/>
            <w:vAlign w:val="center"/>
          </w:tcPr>
          <w:p>
            <w:pPr>
              <w:pStyle w:val="style0"/>
              <w:widowControl/>
              <w:jc w:val="center"/>
              <w:rPr>
                <w:rFonts w:ascii="宋体" w:cs="宋体" w:hAnsi="宋体"/>
                <w:b/>
                <w:bCs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cs="宋体" w:hAnsi="宋体" w:hint="eastAsia"/>
                <w:b/>
                <w:bCs/>
                <w:color w:val="333333"/>
                <w:kern w:val="0"/>
                <w:sz w:val="20"/>
                <w:szCs w:val="20"/>
              </w:rPr>
              <w:t>本科专业</w:t>
            </w:r>
          </w:p>
        </w:tc>
        <w:tc>
          <w:tcPr>
            <w:tcW w:w="6842" w:type="dxa"/>
            <w:tcBorders/>
            <w:shd w:val="clear" w:color="auto" w:fill="auto"/>
            <w:vAlign w:val="center"/>
          </w:tcPr>
          <w:p>
            <w:pPr>
              <w:pStyle w:val="style0"/>
              <w:widowControl/>
              <w:jc w:val="center"/>
              <w:rPr>
                <w:rFonts w:ascii="仿宋_GB2312" w:cs="宋体" w:eastAsia="仿宋_GB2312" w:hAnsi="等线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cs="宋体" w:eastAsia="仿宋_GB2312" w:hAnsi="等线" w:hint="eastAsia"/>
                <w:b/>
                <w:bCs/>
                <w:color w:val="000000"/>
                <w:kern w:val="0"/>
                <w:sz w:val="24"/>
                <w:szCs w:val="24"/>
              </w:rPr>
              <w:t>高职高专相近相关专科专业</w:t>
            </w:r>
          </w:p>
        </w:tc>
      </w:tr>
      <w:tr>
        <w:tblPrEx/>
        <w:trPr>
          <w:trHeight w:val="851" w:hRule="atLeast"/>
        </w:trPr>
        <w:tc>
          <w:tcPr>
            <w:tcW w:w="1630" w:type="dxa"/>
            <w:tcBorders/>
            <w:shd w:val="clear" w:color="auto" w:fill="auto"/>
            <w:noWrap/>
            <w:vAlign w:val="center"/>
          </w:tcPr>
          <w:p>
            <w:pPr>
              <w:pStyle w:val="style0"/>
              <w:widowControl/>
              <w:jc w:val="center"/>
              <w:rPr>
                <w:rFonts w:ascii="宋体" w:cs="宋体" w:hAnsi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cs="宋体" w:hAnsi="宋体" w:hint="eastAsia"/>
                <w:color w:val="333333"/>
                <w:kern w:val="0"/>
                <w:sz w:val="24"/>
                <w:szCs w:val="24"/>
              </w:rPr>
              <w:t>经济与金融</w:t>
            </w:r>
          </w:p>
        </w:tc>
        <w:tc>
          <w:tcPr>
            <w:tcW w:w="6842" w:type="dxa"/>
            <w:tcBorders/>
            <w:shd w:val="clear" w:color="auto" w:fill="auto"/>
            <w:vAlign w:val="center"/>
          </w:tcPr>
          <w:p>
            <w:pPr>
              <w:pStyle w:val="style0"/>
              <w:widowControl/>
              <w:jc w:val="left"/>
              <w:rPr>
                <w:rFonts w:ascii="宋体" w:cs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24"/>
                <w:szCs w:val="24"/>
              </w:rPr>
              <w:t>国际金融、国际商务、经济类、互联网金融、管理类、金融类、经济贸易类、电子商务等相近专业</w:t>
            </w:r>
          </w:p>
        </w:tc>
      </w:tr>
      <w:tr>
        <w:tblPrEx/>
        <w:trPr>
          <w:trHeight w:val="851" w:hRule="atLeast"/>
        </w:trPr>
        <w:tc>
          <w:tcPr>
            <w:tcW w:w="1630" w:type="dxa"/>
            <w:tcBorders/>
            <w:shd w:val="clear" w:color="auto" w:fill="auto"/>
            <w:noWrap/>
            <w:vAlign w:val="center"/>
          </w:tcPr>
          <w:p>
            <w:pPr>
              <w:pStyle w:val="style0"/>
              <w:widowControl/>
              <w:jc w:val="center"/>
              <w:rPr>
                <w:rFonts w:ascii="宋体" w:cs="宋体" w:hAnsi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cs="宋体" w:hAnsi="宋体" w:hint="eastAsia"/>
                <w:color w:val="333333"/>
                <w:kern w:val="0"/>
                <w:sz w:val="24"/>
                <w:szCs w:val="24"/>
              </w:rPr>
              <w:t>学前教育</w:t>
            </w:r>
          </w:p>
        </w:tc>
        <w:tc>
          <w:tcPr>
            <w:tcW w:w="6842" w:type="dxa"/>
            <w:tcBorders/>
            <w:shd w:val="clear" w:color="auto" w:fill="auto"/>
            <w:vAlign w:val="center"/>
          </w:tcPr>
          <w:p>
            <w:pPr>
              <w:pStyle w:val="style0"/>
              <w:widowControl/>
              <w:jc w:val="left"/>
              <w:rPr>
                <w:rFonts w:ascii="宋体" w:cs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24"/>
                <w:szCs w:val="24"/>
              </w:rPr>
              <w:t>学前教育、管理、幼儿发展与健康管理、空中乘务、早期教育、小学教育、语文教育、数学教育、英语教育、物理教育、化学教育、生物教育、历史教育、地理教育、音乐教育、美术教育、体育教育、思想政治教育、舞蹈教育、艺术教育、特殊教育、科学教育、现代教育技术、心理健康教育等相近专业</w:t>
            </w:r>
          </w:p>
        </w:tc>
      </w:tr>
      <w:tr>
        <w:tblPrEx/>
        <w:trPr>
          <w:trHeight w:val="851" w:hRule="atLeast"/>
        </w:trPr>
        <w:tc>
          <w:tcPr>
            <w:tcW w:w="1630" w:type="dxa"/>
            <w:tcBorders/>
            <w:shd w:val="clear" w:color="auto" w:fill="auto"/>
            <w:noWrap/>
            <w:vAlign w:val="center"/>
          </w:tcPr>
          <w:p>
            <w:pPr>
              <w:pStyle w:val="style0"/>
              <w:widowControl/>
              <w:jc w:val="center"/>
              <w:rPr>
                <w:rFonts w:ascii="宋体" w:cs="宋体" w:hAnsi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cs="宋体" w:hAnsi="宋体" w:hint="eastAsia"/>
                <w:color w:val="333333"/>
                <w:kern w:val="0"/>
                <w:sz w:val="24"/>
                <w:szCs w:val="24"/>
              </w:rPr>
              <w:t>汉语言文学</w:t>
            </w:r>
          </w:p>
        </w:tc>
        <w:tc>
          <w:tcPr>
            <w:tcW w:w="6842" w:type="dxa"/>
            <w:tcBorders/>
            <w:shd w:val="clear" w:color="auto" w:fill="auto"/>
            <w:vAlign w:val="center"/>
          </w:tcPr>
          <w:p>
            <w:pPr>
              <w:pStyle w:val="style0"/>
              <w:widowControl/>
              <w:jc w:val="left"/>
              <w:rPr>
                <w:rFonts w:ascii="宋体" w:cs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24"/>
                <w:szCs w:val="24"/>
              </w:rPr>
              <w:t>汉语、中国文学类、学前教育、小学教育、语文教育等教育类专业，文秘、文秘速录等文秘类专业，网络新闻与传播等新闻出版类专业等相近专业</w:t>
            </w:r>
          </w:p>
        </w:tc>
      </w:tr>
      <w:tr>
        <w:tblPrEx/>
        <w:trPr>
          <w:trHeight w:val="851" w:hRule="atLeast"/>
        </w:trPr>
        <w:tc>
          <w:tcPr>
            <w:tcW w:w="1630" w:type="dxa"/>
            <w:tcBorders/>
            <w:shd w:val="clear" w:color="auto" w:fill="auto"/>
            <w:noWrap/>
            <w:vAlign w:val="center"/>
          </w:tcPr>
          <w:p>
            <w:pPr>
              <w:pStyle w:val="style0"/>
              <w:widowControl/>
              <w:jc w:val="center"/>
              <w:rPr>
                <w:rFonts w:ascii="宋体" w:cs="宋体" w:hAnsi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cs="宋体" w:hAnsi="宋体" w:hint="eastAsia"/>
                <w:color w:val="333333"/>
                <w:kern w:val="0"/>
                <w:sz w:val="24"/>
                <w:szCs w:val="24"/>
              </w:rPr>
              <w:t>英语</w:t>
            </w:r>
          </w:p>
        </w:tc>
        <w:tc>
          <w:tcPr>
            <w:tcW w:w="6842" w:type="dxa"/>
            <w:tcBorders/>
            <w:shd w:val="clear" w:color="auto" w:fill="auto"/>
            <w:vAlign w:val="center"/>
          </w:tcPr>
          <w:p>
            <w:pPr>
              <w:pStyle w:val="style0"/>
              <w:widowControl/>
              <w:jc w:val="left"/>
              <w:rPr>
                <w:rFonts w:ascii="宋体" w:cs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24"/>
                <w:szCs w:val="24"/>
              </w:rPr>
              <w:t>商务英语、英语教育、应用英语、旅游英语、</w:t>
            </w:r>
            <w:r>
              <w:rPr>
                <w:rFonts w:ascii="宋体" w:cs="宋体" w:hAnsi="宋体" w:hint="eastAsia"/>
                <w:color w:val="000000"/>
                <w:kern w:val="0"/>
                <w:sz w:val="24"/>
                <w:szCs w:val="24"/>
              </w:rPr>
              <w:t>学前教育、小学教育、英语教育、空中乘务、旅游管理、国际经济与贸易、国际商务等相近专业。</w:t>
            </w:r>
          </w:p>
        </w:tc>
      </w:tr>
      <w:tr>
        <w:tblPrEx/>
        <w:trPr>
          <w:trHeight w:val="851" w:hRule="atLeast"/>
        </w:trPr>
        <w:tc>
          <w:tcPr>
            <w:tcW w:w="1630" w:type="dxa"/>
            <w:tcBorders/>
            <w:shd w:val="clear" w:color="auto" w:fill="auto"/>
            <w:noWrap/>
            <w:vAlign w:val="center"/>
          </w:tcPr>
          <w:p>
            <w:pPr>
              <w:pStyle w:val="style0"/>
              <w:widowControl/>
              <w:jc w:val="center"/>
              <w:rPr>
                <w:rFonts w:ascii="宋体" w:cs="宋体" w:hAnsi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cs="宋体" w:hAnsi="宋体" w:hint="eastAsia"/>
                <w:color w:val="333333"/>
                <w:kern w:val="0"/>
                <w:sz w:val="24"/>
                <w:szCs w:val="24"/>
              </w:rPr>
              <w:t>电子信息工程</w:t>
            </w:r>
          </w:p>
        </w:tc>
        <w:tc>
          <w:tcPr>
            <w:tcW w:w="6842" w:type="dxa"/>
            <w:tcBorders/>
            <w:shd w:val="clear" w:color="auto" w:fill="auto"/>
            <w:vAlign w:val="center"/>
          </w:tcPr>
          <w:p>
            <w:pPr>
              <w:pStyle w:val="style0"/>
              <w:widowControl/>
              <w:jc w:val="left"/>
              <w:rPr>
                <w:rFonts w:ascii="宋体" w:cs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24"/>
                <w:szCs w:val="24"/>
              </w:rPr>
              <w:t>自动化生产设备应用、电信、通信技术、电气自动化技术、摄影测量与遥感技术、电子信息工程技术、应用电子技术、电子测量技术与仪器、电子仪器仪表与维修、电子设备与运行管理、电子声像技术、电子工艺与管理、微电子技术、无线电技术、通信技术、移动通信技术、计算机通信、通信网络与设备、通信系统运行管理等相近专业</w:t>
            </w:r>
          </w:p>
        </w:tc>
      </w:tr>
      <w:tr>
        <w:tblPrEx/>
        <w:trPr>
          <w:trHeight w:val="851" w:hRule="atLeast"/>
        </w:trPr>
        <w:tc>
          <w:tcPr>
            <w:tcW w:w="1630" w:type="dxa"/>
            <w:tcBorders/>
            <w:shd w:val="clear" w:color="auto" w:fill="auto"/>
            <w:noWrap/>
            <w:vAlign w:val="center"/>
          </w:tcPr>
          <w:p>
            <w:pPr>
              <w:pStyle w:val="style0"/>
              <w:widowControl/>
              <w:jc w:val="center"/>
              <w:rPr>
                <w:rFonts w:ascii="宋体" w:cs="宋体" w:hAnsi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cs="宋体" w:hAnsi="宋体" w:hint="eastAsia"/>
                <w:color w:val="333333"/>
                <w:kern w:val="0"/>
                <w:sz w:val="24"/>
                <w:szCs w:val="24"/>
              </w:rPr>
              <w:t>计算机科学与技术</w:t>
            </w:r>
          </w:p>
        </w:tc>
        <w:tc>
          <w:tcPr>
            <w:tcW w:w="6842" w:type="dxa"/>
            <w:tcBorders/>
            <w:shd w:val="clear" w:color="auto" w:fill="auto"/>
            <w:vAlign w:val="center"/>
          </w:tcPr>
          <w:p>
            <w:pPr>
              <w:pStyle w:val="style0"/>
              <w:widowControl/>
              <w:jc w:val="left"/>
              <w:rPr>
                <w:rFonts w:ascii="宋体" w:cs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24"/>
                <w:szCs w:val="24"/>
              </w:rPr>
              <w:t>信息安全技术、物联网应用技术、电子商务、大数据技术与应用、计算机网络技术、云计算技术与应用、电子信息工程技术、计算机应用技术、计算机多媒体技术、软件技术、动漫制作技术、计算机信息管理、 计算机系统与维护、</w:t>
            </w:r>
            <w:r>
              <w:rPr>
                <w:rFonts w:ascii="宋体" w:cs="宋体" w:hAnsi="宋体" w:hint="eastAsia"/>
                <w:color w:val="000000"/>
                <w:kern w:val="0"/>
                <w:sz w:val="24"/>
                <w:szCs w:val="24"/>
              </w:rPr>
              <w:t>嵌入式技术与应用、移动应用开发、信息安全与管理、互联网金融、数字媒体应用技术、无人机应用技术、移动商务、测绘地理信息技术、智能交通技术运用、地图制图与数字传播技术、摄影测量与遥感技术等相近专业。</w:t>
            </w:r>
          </w:p>
        </w:tc>
      </w:tr>
      <w:tr>
        <w:tblPrEx/>
        <w:trPr>
          <w:trHeight w:val="851" w:hRule="atLeast"/>
        </w:trPr>
        <w:tc>
          <w:tcPr>
            <w:tcW w:w="1630" w:type="dxa"/>
            <w:tcBorders/>
            <w:shd w:val="clear" w:color="auto" w:fill="auto"/>
            <w:noWrap/>
            <w:vAlign w:val="center"/>
          </w:tcPr>
          <w:p>
            <w:pPr>
              <w:pStyle w:val="style0"/>
              <w:widowControl/>
              <w:jc w:val="center"/>
              <w:rPr>
                <w:rFonts w:ascii="宋体" w:cs="宋体" w:hAnsi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cs="宋体" w:hAnsi="宋体" w:hint="eastAsia"/>
                <w:color w:val="333333"/>
                <w:kern w:val="0"/>
                <w:sz w:val="24"/>
                <w:szCs w:val="24"/>
              </w:rPr>
              <w:t>人力资源管理</w:t>
            </w:r>
          </w:p>
        </w:tc>
        <w:tc>
          <w:tcPr>
            <w:tcW w:w="6842" w:type="dxa"/>
            <w:tcBorders/>
            <w:shd w:val="clear" w:color="auto" w:fill="auto"/>
            <w:vAlign w:val="center"/>
          </w:tcPr>
          <w:p>
            <w:pPr>
              <w:pStyle w:val="style0"/>
              <w:widowControl/>
              <w:jc w:val="left"/>
              <w:rPr>
                <w:rFonts w:ascii="宋体" w:cs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24"/>
                <w:szCs w:val="24"/>
              </w:rPr>
              <w:t>会计、国际经济与贸易、工商企业管理、人力资源管理、公共关系、旅游管理、酒店管理等相近专业</w:t>
            </w:r>
          </w:p>
        </w:tc>
      </w:tr>
      <w:tr>
        <w:tblPrEx/>
        <w:trPr>
          <w:trHeight w:val="851" w:hRule="atLeast"/>
        </w:trPr>
        <w:tc>
          <w:tcPr>
            <w:tcW w:w="1630" w:type="dxa"/>
            <w:tcBorders/>
            <w:shd w:val="clear" w:color="auto" w:fill="auto"/>
            <w:noWrap/>
            <w:vAlign w:val="center"/>
          </w:tcPr>
          <w:p>
            <w:pPr>
              <w:pStyle w:val="style0"/>
              <w:widowControl/>
              <w:jc w:val="center"/>
              <w:rPr>
                <w:rFonts w:ascii="宋体" w:cs="宋体" w:hAnsi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cs="宋体" w:hAnsi="宋体" w:hint="eastAsia"/>
                <w:color w:val="333333"/>
                <w:kern w:val="0"/>
                <w:sz w:val="24"/>
                <w:szCs w:val="24"/>
              </w:rPr>
              <w:t>财务会计教育</w:t>
            </w:r>
          </w:p>
        </w:tc>
        <w:tc>
          <w:tcPr>
            <w:tcW w:w="6842" w:type="dxa"/>
            <w:tcBorders/>
            <w:shd w:val="clear" w:color="auto" w:fill="auto"/>
            <w:vAlign w:val="center"/>
          </w:tcPr>
          <w:p>
            <w:pPr>
              <w:pStyle w:val="style0"/>
              <w:widowControl/>
              <w:jc w:val="left"/>
              <w:rPr>
                <w:rFonts w:ascii="宋体" w:cs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24"/>
                <w:szCs w:val="24"/>
              </w:rPr>
              <w:t>财政、税务、人力资源管理、</w:t>
            </w:r>
            <w:r>
              <w:rPr>
                <w:rFonts w:ascii="宋体" w:cs="宋体" w:hAnsi="宋体" w:hint="eastAsia"/>
                <w:color w:val="000000"/>
                <w:kern w:val="0"/>
                <w:sz w:val="24"/>
                <w:szCs w:val="24"/>
              </w:rPr>
              <w:t>旅游管理、</w:t>
            </w:r>
            <w:r>
              <w:rPr>
                <w:rFonts w:ascii="宋体" w:cs="宋体" w:hAnsi="宋体" w:hint="eastAsia"/>
                <w:color w:val="000000"/>
                <w:kern w:val="0"/>
                <w:sz w:val="24"/>
                <w:szCs w:val="24"/>
              </w:rPr>
              <w:t>资产评估与管理、政府采购管理、金融管理、国际金融、证券与期货、信托与租赁、保险、投资与理财、信用管理、农村金融、互联网金融、财务管理、会计、审计、会计信息管理、信息统计与分析、统计与会计核算、国际贸易实务、国际经济与贸易、国际商务、经济信息管理、工商企业管理、商务管理、市场营销、电子商务、物流工程技术、物流信息技术、物流管理、物流金融管理、工程物流管理、采购与供应管理</w:t>
            </w:r>
            <w:r>
              <w:rPr>
                <w:rFonts w:ascii="宋体" w:cs="宋体" w:hAnsi="宋体" w:hint="eastAsia"/>
                <w:color w:val="000000"/>
                <w:kern w:val="0"/>
                <w:sz w:val="24"/>
                <w:szCs w:val="24"/>
              </w:rPr>
              <w:t>等相近专业</w:t>
            </w:r>
          </w:p>
        </w:tc>
      </w:tr>
      <w:tr>
        <w:tblPrEx/>
        <w:trPr>
          <w:trHeight w:val="851" w:hRule="atLeast"/>
        </w:trPr>
        <w:tc>
          <w:tcPr>
            <w:tcW w:w="1630" w:type="dxa"/>
            <w:tcBorders/>
            <w:shd w:val="clear" w:color="auto" w:fill="auto"/>
            <w:noWrap/>
            <w:vAlign w:val="center"/>
          </w:tcPr>
          <w:p>
            <w:pPr>
              <w:pStyle w:val="style0"/>
              <w:widowControl/>
              <w:jc w:val="center"/>
              <w:rPr>
                <w:rFonts w:ascii="宋体" w:cs="宋体" w:hAnsi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cs="宋体" w:hAnsi="宋体" w:hint="eastAsia"/>
                <w:color w:val="333333"/>
                <w:kern w:val="0"/>
                <w:sz w:val="24"/>
                <w:szCs w:val="24"/>
              </w:rPr>
              <w:t>电子商务</w:t>
            </w:r>
          </w:p>
        </w:tc>
        <w:tc>
          <w:tcPr>
            <w:tcW w:w="6842" w:type="dxa"/>
            <w:tcBorders/>
            <w:shd w:val="clear" w:color="auto" w:fill="auto"/>
            <w:vAlign w:val="center"/>
          </w:tcPr>
          <w:p>
            <w:pPr>
              <w:pStyle w:val="style0"/>
              <w:widowControl/>
              <w:jc w:val="left"/>
              <w:rPr>
                <w:rFonts w:ascii="宋体" w:cs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24"/>
                <w:szCs w:val="24"/>
              </w:rPr>
              <w:t>工商企业管理、会计、市场营销、电子商务、电子信息工程技术、计算机应用技术、计算机网络技术、大数据技术与应用、商务数据分析与应用、旅游管理、网络营销、食品检测技术、服装与服饰设计、移动商务、</w:t>
            </w:r>
            <w:r>
              <w:rPr>
                <w:rFonts w:ascii="宋体" w:cs="宋体" w:hAnsi="宋体" w:hint="eastAsia"/>
                <w:color w:val="000000"/>
                <w:kern w:val="0"/>
                <w:sz w:val="24"/>
                <w:szCs w:val="24"/>
              </w:rPr>
              <w:t>电子商务技术、电子信息工程技术、出版商务、汉语、英语、计算机应用技术等相近专业</w:t>
            </w:r>
            <w:r>
              <w:rPr>
                <w:rFonts w:ascii="宋体" w:cs="宋体" w:hAnsi="宋体" w:hint="eastAsia"/>
                <w:color w:val="000000"/>
                <w:kern w:val="0"/>
                <w:sz w:val="24"/>
                <w:szCs w:val="24"/>
              </w:rPr>
              <w:t>等相近专业。</w:t>
            </w:r>
          </w:p>
        </w:tc>
      </w:tr>
      <w:tr>
        <w:tblPrEx/>
        <w:trPr>
          <w:trHeight w:val="851" w:hRule="atLeast"/>
        </w:trPr>
        <w:tc>
          <w:tcPr>
            <w:tcW w:w="1630" w:type="dxa"/>
            <w:tcBorders/>
            <w:shd w:val="clear" w:color="auto" w:fill="auto"/>
            <w:noWrap/>
            <w:vAlign w:val="center"/>
          </w:tcPr>
          <w:p>
            <w:pPr>
              <w:pStyle w:val="style0"/>
              <w:widowControl/>
              <w:jc w:val="center"/>
              <w:rPr>
                <w:rFonts w:ascii="宋体" w:cs="宋体" w:hAnsi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cs="宋体" w:hAnsi="宋体" w:hint="eastAsia"/>
                <w:color w:val="333333"/>
                <w:kern w:val="0"/>
                <w:sz w:val="24"/>
                <w:szCs w:val="24"/>
              </w:rPr>
              <w:t>音乐学</w:t>
            </w:r>
          </w:p>
        </w:tc>
        <w:tc>
          <w:tcPr>
            <w:tcW w:w="6842" w:type="dxa"/>
            <w:tcBorders/>
            <w:shd w:val="clear" w:color="auto" w:fill="auto"/>
            <w:vAlign w:val="center"/>
          </w:tcPr>
          <w:p>
            <w:pPr>
              <w:pStyle w:val="style0"/>
              <w:widowControl/>
              <w:jc w:val="left"/>
              <w:rPr>
                <w:rFonts w:ascii="宋体" w:cs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24"/>
                <w:szCs w:val="24"/>
              </w:rPr>
              <w:t>音乐教育、艺术教育、学前教育、小学教育、音乐剧表演、现代流行音乐、作曲技术、音乐制作、钢琴伴奏、钢琴调律、歌舞表演等相近专业</w:t>
            </w:r>
          </w:p>
        </w:tc>
      </w:tr>
      <w:tr>
        <w:tblPrEx/>
        <w:trPr>
          <w:trHeight w:val="851" w:hRule="atLeast"/>
        </w:trPr>
        <w:tc>
          <w:tcPr>
            <w:tcW w:w="1630" w:type="dxa"/>
            <w:tcBorders/>
            <w:shd w:val="clear" w:color="auto" w:fill="auto"/>
            <w:noWrap/>
            <w:vAlign w:val="center"/>
          </w:tcPr>
          <w:p>
            <w:pPr>
              <w:pStyle w:val="style0"/>
              <w:widowControl/>
              <w:jc w:val="center"/>
              <w:rPr>
                <w:rFonts w:ascii="宋体" w:cs="宋体" w:hAnsi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cs="宋体" w:hAnsi="宋体" w:hint="eastAsia"/>
                <w:color w:val="333333"/>
                <w:kern w:val="0"/>
                <w:sz w:val="24"/>
                <w:szCs w:val="24"/>
              </w:rPr>
              <w:t>视觉传达设计</w:t>
            </w:r>
          </w:p>
        </w:tc>
        <w:tc>
          <w:tcPr>
            <w:tcW w:w="6842" w:type="dxa"/>
            <w:tcBorders/>
            <w:shd w:val="clear" w:color="auto" w:fill="auto"/>
            <w:vAlign w:val="center"/>
          </w:tcPr>
          <w:p>
            <w:pPr>
              <w:pStyle w:val="style0"/>
              <w:widowControl/>
              <w:jc w:val="left"/>
              <w:rPr>
                <w:rFonts w:ascii="宋体" w:cs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24"/>
                <w:szCs w:val="24"/>
              </w:rPr>
              <w:t>广告设计与制作、艺术设计、视觉传播设计与制作、数字媒体艺术设计、产品艺术设计、家具艺术设计、皮具艺术设计、服装与服饰设计、室内艺术设计、展示艺术设计、环境艺术设计、公共艺术设计、雕刻艺术设计、包装艺术设计、陶瓷设计与工艺、刺绣设计与工艺、玉器设计与工艺、首饰设计与工艺、工艺美术品设计、动漫设计、游戏设计、人物形象设计、摄影与摄像艺术、美术、民族美术、民族服装与服饰、民族民居装饰、图文信息处理、网络新闻与传播、版面编辑与校对、出版与电脑编辑技术、数字出版、数字媒体设备管理、新闻与采编制作、广播影视节目制作、影视制片管理、影视编导、影视美术、影视多媒体技术、影视动画、影视照明技术与艺术、摄影摄像技术、传播与策划、美术教育、艺术教育、包装策划与设计、数字图文信息技术、数字印刷技术、动漫制作技术、数字展示技术、数字媒体应用技术、服装设计与工艺、服装陈列与展示设计、建筑室内设计、风景园林设计、建筑动画与模型制作、家居设计与制造、鞋类设计、文化创意与策划或其他相近专业</w:t>
            </w:r>
          </w:p>
        </w:tc>
      </w:tr>
      <w:tr>
        <w:tblPrEx/>
        <w:trPr>
          <w:trHeight w:val="851" w:hRule="atLeast"/>
        </w:trPr>
        <w:tc>
          <w:tcPr>
            <w:tcW w:w="1630" w:type="dxa"/>
            <w:tcBorders/>
            <w:shd w:val="clear" w:color="auto" w:fill="auto"/>
            <w:noWrap/>
            <w:vAlign w:val="center"/>
          </w:tcPr>
          <w:p>
            <w:pPr>
              <w:pStyle w:val="style0"/>
              <w:widowControl/>
              <w:jc w:val="center"/>
              <w:rPr>
                <w:rFonts w:ascii="宋体" w:cs="宋体" w:hAnsi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cs="宋体" w:hAnsi="宋体" w:hint="eastAsia"/>
                <w:color w:val="333333"/>
                <w:kern w:val="0"/>
                <w:sz w:val="24"/>
                <w:szCs w:val="24"/>
              </w:rPr>
              <w:t>环境设计</w:t>
            </w:r>
          </w:p>
        </w:tc>
        <w:tc>
          <w:tcPr>
            <w:tcW w:w="6842" w:type="dxa"/>
            <w:tcBorders/>
            <w:shd w:val="clear" w:color="auto" w:fill="auto"/>
            <w:vAlign w:val="center"/>
          </w:tcPr>
          <w:p>
            <w:pPr>
              <w:pStyle w:val="style0"/>
              <w:widowControl/>
              <w:jc w:val="left"/>
              <w:rPr>
                <w:rFonts w:ascii="宋体" w:cs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24"/>
                <w:szCs w:val="24"/>
              </w:rPr>
              <w:t>艺术设计、广告设计与制作、动漫设计、动漫制作技术、环境规划与管理、室内艺术设计、风景园林设计、包装策划与设计等相近专业</w:t>
            </w:r>
          </w:p>
          <w:p>
            <w:pPr>
              <w:pStyle w:val="style0"/>
              <w:widowControl/>
              <w:jc w:val="left"/>
              <w:rPr>
                <w:rFonts w:ascii="宋体" w:cs="宋体" w:hAnsi="宋体"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pStyle w:val="style0"/>
        <w:spacing w:lineRule="exact" w:line="500"/>
        <w:jc w:val="left"/>
        <w:rPr>
          <w:rFonts w:ascii="仿宋_GB2312" w:cs="Tahoma" w:eastAsia="仿宋_GB2312" w:hAnsi="仿宋"/>
          <w:kern w:val="0"/>
          <w:sz w:val="24"/>
          <w:szCs w:val="24"/>
        </w:rPr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tabs>
          <w:tab w:val="left" w:leader="none" w:pos="1793"/>
        </w:tabs>
        <w:jc w:val="left"/>
        <w:rPr/>
      </w:pPr>
      <w:r>
        <w:rPr>
          <w:rFonts w:hint="eastAsia"/>
        </w:rPr>
        <w:tab/>
      </w:r>
    </w:p>
    <w:p>
      <w:pPr>
        <w:pStyle w:val="style0"/>
        <w:tabs>
          <w:tab w:val="left" w:leader="none" w:pos="1793"/>
        </w:tabs>
        <w:jc w:val="left"/>
        <w:rPr/>
      </w:pPr>
    </w:p>
    <w:p>
      <w:pPr>
        <w:pStyle w:val="style0"/>
        <w:tabs>
          <w:tab w:val="left" w:leader="none" w:pos="1793"/>
        </w:tabs>
        <w:jc w:val="left"/>
        <w:rPr/>
      </w:pPr>
    </w:p>
    <w:p>
      <w:pPr>
        <w:pStyle w:val="style0"/>
        <w:tabs>
          <w:tab w:val="left" w:leader="none" w:pos="1793"/>
        </w:tabs>
        <w:jc w:val="left"/>
        <w:rPr/>
      </w:pPr>
    </w:p>
    <w:p>
      <w:pPr>
        <w:pStyle w:val="style0"/>
        <w:tabs>
          <w:tab w:val="left" w:leader="none" w:pos="1793"/>
        </w:tabs>
        <w:jc w:val="left"/>
        <w:rPr/>
      </w:pPr>
    </w:p>
    <w:p>
      <w:pPr>
        <w:pStyle w:val="style0"/>
        <w:tabs>
          <w:tab w:val="left" w:leader="none" w:pos="1793"/>
        </w:tabs>
        <w:jc w:val="left"/>
        <w:rPr/>
      </w:pPr>
    </w:p>
    <w:p>
      <w:pPr>
        <w:pStyle w:val="style0"/>
        <w:tabs>
          <w:tab w:val="left" w:leader="none" w:pos="1793"/>
        </w:tabs>
        <w:jc w:val="left"/>
        <w:rPr/>
      </w:pPr>
    </w:p>
    <w:p>
      <w:pPr>
        <w:pStyle w:val="style0"/>
        <w:tabs>
          <w:tab w:val="left" w:leader="none" w:pos="1793"/>
        </w:tabs>
        <w:jc w:val="left"/>
        <w:rPr/>
      </w:pPr>
    </w:p>
    <w:p>
      <w:pPr>
        <w:pStyle w:val="style0"/>
        <w:tabs>
          <w:tab w:val="left" w:leader="none" w:pos="1793"/>
        </w:tabs>
        <w:jc w:val="left"/>
        <w:rPr/>
      </w:pPr>
    </w:p>
    <w:p>
      <w:pPr>
        <w:pStyle w:val="style0"/>
        <w:tabs>
          <w:tab w:val="left" w:leader="none" w:pos="1793"/>
        </w:tabs>
        <w:jc w:val="left"/>
        <w:rPr/>
      </w:pPr>
    </w:p>
    <w:p>
      <w:pPr>
        <w:pStyle w:val="style0"/>
        <w:tabs>
          <w:tab w:val="left" w:leader="none" w:pos="1793"/>
        </w:tabs>
        <w:jc w:val="left"/>
        <w:rPr/>
      </w:pPr>
    </w:p>
    <w:p>
      <w:pPr>
        <w:pStyle w:val="style0"/>
        <w:tabs>
          <w:tab w:val="left" w:leader="none" w:pos="1793"/>
        </w:tabs>
        <w:jc w:val="left"/>
        <w:rPr/>
      </w:pPr>
    </w:p>
    <w:p>
      <w:pPr>
        <w:pStyle w:val="style0"/>
        <w:tabs>
          <w:tab w:val="left" w:leader="none" w:pos="1793"/>
        </w:tabs>
        <w:jc w:val="left"/>
        <w:rPr/>
      </w:pPr>
    </w:p>
    <w:p>
      <w:pPr>
        <w:pStyle w:val="style0"/>
        <w:tabs>
          <w:tab w:val="left" w:leader="none" w:pos="1793"/>
        </w:tabs>
        <w:jc w:val="left"/>
        <w:rPr/>
      </w:pPr>
    </w:p>
    <w:p>
      <w:pPr>
        <w:pStyle w:val="style0"/>
        <w:tabs>
          <w:tab w:val="left" w:leader="none" w:pos="1793"/>
        </w:tabs>
        <w:jc w:val="left"/>
        <w:rPr/>
      </w:pPr>
    </w:p>
    <w:p>
      <w:pPr>
        <w:pStyle w:val="style0"/>
        <w:tabs>
          <w:tab w:val="left" w:leader="none" w:pos="1793"/>
        </w:tabs>
        <w:jc w:val="left"/>
        <w:rPr/>
      </w:pPr>
    </w:p>
    <w:p>
      <w:pPr>
        <w:pStyle w:val="style0"/>
        <w:tabs>
          <w:tab w:val="left" w:leader="none" w:pos="1793"/>
        </w:tabs>
        <w:jc w:val="left"/>
        <w:rPr/>
      </w:pPr>
    </w:p>
    <w:p>
      <w:pPr>
        <w:pStyle w:val="style0"/>
        <w:tabs>
          <w:tab w:val="left" w:leader="none" w:pos="1793"/>
        </w:tabs>
        <w:jc w:val="left"/>
        <w:rPr/>
      </w:pPr>
    </w:p>
    <w:sectPr>
      <w:pgSz w:w="11906" w:h="16838" w:orient="portrait"/>
      <w:pgMar w:top="873" w:right="1236" w:bottom="873" w:left="123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宋体"/>
    <w:panose1 w:val="020106000300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ing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0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0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002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007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alibri"/>
    <w:panose1 w:val="020f0502020002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altName w:val="仿宋"/>
    <w:panose1 w:val="020106090600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等线">
    <w:altName w:val="等线"/>
    <w:panose1 w:val="02010600030001010101"/>
    <w:charset w:val="86"/>
    <w:family w:val="auto"/>
    <w:pitch w:val="default"/>
    <w:sig w:usb0="A00002BF" w:usb1="38CF7CFA" w:usb2="00000016" w:usb3="00000000" w:csb0="0004000F" w:csb1="00000000"/>
  </w:font>
  <w:font w:name="Tahoma">
    <w:altName w:val="Tahoma"/>
    <w:panose1 w:val="020b0604030005040204"/>
    <w:charset w:val="00"/>
    <w:family w:val="swiss"/>
    <w:pitch w:val="default"/>
    <w:sig w:usb0="E1002EFF" w:usb1="C000605B" w:usb2="00000029" w:usb3="00000000" w:csb0="200101FF" w:csb1="20280000"/>
  </w:font>
  <w:font w:name="微软雅黑">
    <w:altName w:val="微软雅黑"/>
    <w:panose1 w:val="020b0503020002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5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1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imes New Roman" w:cs="Times New Roman" w:eastAsia="宋体" w:hAnsi="Times New Roman"/>
      </w:rPr>
    </w:rPrDefault>
    <w:pPrDefault>
      <w:pPr/>
    </w:pPrDefault>
  </w:docDefaults>
  <w:style w:type="paragraph" w:default="1" w:styleId="style0">
    <w:name w:val="Normal"/>
    <w:next w:val="style0"/>
    <w:qFormat/>
    <w:uiPriority w:val="0"/>
    <w:pPr>
      <w:widowControl w:val="false"/>
      <w:jc w:val="both"/>
    </w:pPr>
    <w:rPr>
      <w:rFonts w:ascii="Times New Roman" w:cs="Times New Roman" w:eastAsia="宋体" w:hAnsi="Times New Roman"/>
      <w:kern w:val="2"/>
      <w:sz w:val="21"/>
      <w:szCs w:val="22"/>
      <w:lang w:val="en-US" w:bidi="ar-SA" w:eastAsia="zh-CN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32">
    <w:name w:val="footer"/>
    <w:basedOn w:val="style0"/>
    <w:next w:val="style32"/>
    <w:link w:val="style4098"/>
    <w:qFormat/>
    <w:uiPriority w:val="0"/>
    <w:pPr>
      <w:tabs>
        <w:tab w:val="center" w:leader="none" w:pos="4153"/>
        <w:tab w:val="right" w:leader="none" w:pos="8306"/>
      </w:tabs>
      <w:snapToGrid w:val="false"/>
      <w:jc w:val="left"/>
    </w:pPr>
    <w:rPr>
      <w:sz w:val="18"/>
      <w:szCs w:val="18"/>
    </w:rPr>
  </w:style>
  <w:style w:type="paragraph" w:styleId="style31">
    <w:name w:val="header"/>
    <w:basedOn w:val="style0"/>
    <w:next w:val="style31"/>
    <w:link w:val="style4097"/>
    <w:qFormat/>
    <w:uiPriority w:val="0"/>
    <w:pPr>
      <w:pBdr>
        <w:bottom w:val="single" w:sz="6" w:space="1" w:color="auto"/>
      </w:pBdr>
      <w:tabs>
        <w:tab w:val="center" w:leader="none" w:pos="4153"/>
        <w:tab w:val="right" w:leader="none" w:pos="8306"/>
      </w:tabs>
      <w:snapToGrid w:val="false"/>
      <w:jc w:val="center"/>
    </w:pPr>
    <w:rPr>
      <w:sz w:val="18"/>
      <w:szCs w:val="18"/>
    </w:rPr>
  </w:style>
  <w:style w:type="character" w:customStyle="1" w:styleId="style4097">
    <w:name w:val="页眉 字符"/>
    <w:basedOn w:val="style65"/>
    <w:next w:val="style4097"/>
    <w:link w:val="style31"/>
    <w:qFormat/>
    <w:uiPriority w:val="0"/>
    <w:rPr>
      <w:kern w:val="2"/>
      <w:sz w:val="18"/>
      <w:szCs w:val="18"/>
    </w:rPr>
  </w:style>
  <w:style w:type="character" w:customStyle="1" w:styleId="style4098">
    <w:name w:val="页脚 字符"/>
    <w:basedOn w:val="style65"/>
    <w:next w:val="style4098"/>
    <w:link w:val="style32"/>
    <w:qFormat/>
    <w:uiPriority w:val="0"/>
    <w:rPr>
      <w:kern w:val="2"/>
      <w:sz w:val="18"/>
      <w:szCs w:val="18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Words>1690</Words>
  <Pages>2</Pages>
  <Characters>1693</Characters>
  <Application>WPS Office</Application>
  <DocSecurity>0</DocSecurity>
  <Paragraphs>80</Paragraphs>
  <ScaleCrop>false</ScaleCrop>
  <LinksUpToDate>false</LinksUpToDate>
  <CharactersWithSpaces>1695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2023-03-09T01:36:00Z</dcterms:created>
  <dc:creator>jwc</dc:creator>
  <lastModifiedBy>SM-N9860</lastModifiedBy>
  <dcterms:modified xsi:type="dcterms:W3CDTF">2024-07-14T06:55:22Z</dcterms:modified>
  <revision>11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a0064c004fe84585ae01ea789933d7d2_23</vt:lpwstr>
  </property>
</Properties>
</file>