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40" w:lineRule="exact"/>
        <w:rPr>
          <w:rFonts w:ascii="黑体" w:hAnsi="黑体" w:eastAsia="黑体" w:cs="黑体"/>
          <w:bCs/>
          <w:sz w:val="30"/>
          <w:szCs w:val="30"/>
        </w:rPr>
      </w:pPr>
      <w:r>
        <w:rPr>
          <w:rFonts w:hint="eastAsia" w:ascii="黑体" w:hAnsi="黑体" w:eastAsia="黑体" w:cs="黑体"/>
          <w:bCs/>
          <w:sz w:val="30"/>
          <w:szCs w:val="30"/>
        </w:rPr>
        <w:t>附件3</w:t>
      </w:r>
    </w:p>
    <w:p>
      <w:pPr>
        <w:spacing w:before="240" w:beforeLines="100" w:after="240" w:afterLines="100" w:line="540" w:lineRule="exact"/>
        <w:jc w:val="center"/>
        <w:rPr>
          <w:rFonts w:ascii="仿宋" w:hAnsi="仿宋" w:eastAsia="仿宋" w:cs="仿宋"/>
          <w:b/>
          <w:sz w:val="30"/>
          <w:szCs w:val="30"/>
        </w:rPr>
      </w:pPr>
      <w:r>
        <w:rPr>
          <w:rFonts w:hint="eastAsia" w:ascii="仿宋" w:hAnsi="仿宋" w:eastAsia="仿宋" w:cs="仿宋"/>
          <w:b/>
          <w:sz w:val="40"/>
          <w:szCs w:val="40"/>
        </w:rPr>
        <w:t>武汉东湖学院202</w:t>
      </w:r>
      <w:r>
        <w:rPr>
          <w:rFonts w:ascii="仿宋" w:hAnsi="仿宋" w:eastAsia="仿宋" w:cs="仿宋"/>
          <w:b/>
          <w:sz w:val="40"/>
          <w:szCs w:val="40"/>
        </w:rPr>
        <w:t>3</w:t>
      </w:r>
      <w:r>
        <w:rPr>
          <w:rFonts w:hint="eastAsia" w:ascii="仿宋" w:hAnsi="仿宋" w:eastAsia="仿宋" w:cs="仿宋"/>
          <w:b/>
          <w:sz w:val="40"/>
          <w:szCs w:val="40"/>
        </w:rPr>
        <w:t>年普通专升本招生专业简介</w:t>
      </w:r>
    </w:p>
    <w:p>
      <w:pPr>
        <w:spacing w:after="0" w:line="360" w:lineRule="auto"/>
        <w:ind w:firstLine="602" w:firstLineChars="200"/>
        <w:jc w:val="both"/>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（一）金融学</w:t>
      </w:r>
    </w:p>
    <w:p>
      <w:pPr>
        <w:spacing w:line="360" w:lineRule="auto"/>
        <w:ind w:firstLine="600" w:firstLineChars="200"/>
        <w:rPr>
          <w:rFonts w:ascii="仿宋_GB2312" w:hAnsi="仿宋_GB2312" w:eastAsia="仿宋_GB2312" w:cs="仿宋_GB2312"/>
          <w:color w:val="000000"/>
          <w:sz w:val="30"/>
          <w:szCs w:val="30"/>
        </w:rPr>
      </w:pPr>
      <w:bookmarkStart w:id="0" w:name="_Toc8744801"/>
      <w:r>
        <w:rPr>
          <w:rFonts w:hint="eastAsia" w:ascii="仿宋_GB2312" w:hAnsi="仿宋_GB2312" w:eastAsia="仿宋_GB2312" w:cs="仿宋_GB2312"/>
          <w:color w:val="000000"/>
          <w:sz w:val="30"/>
          <w:szCs w:val="30"/>
        </w:rPr>
        <w:t>本专业以“经济管理省级实验教学示范中心”为平台，以《货币金融学》“省级课程”和《国际金融》“省级精品资源共享课”为引领，依托特色课程优秀教学团队，实施“嵌入式模块课程”的多元化人才培养模式，旨在培养“投资与理财”和“金融科技”方面的高素质应用型金融人才。毕业生可在银行、证券、保险、信托投资、金融租赁、金融资产、金融科技、金融教育等行业从事管理和金融业务工作。</w:t>
      </w:r>
    </w:p>
    <w:p>
      <w:pPr>
        <w:spacing w:after="0" w:line="360" w:lineRule="auto"/>
        <w:ind w:firstLine="602" w:firstLineChars="200"/>
        <w:jc w:val="both"/>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（二）国际经济与贸易</w:t>
      </w:r>
      <w:bookmarkEnd w:id="0"/>
    </w:p>
    <w:p>
      <w:pPr>
        <w:spacing w:line="360" w:lineRule="auto"/>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本专业是“省级一流本科专业”，国际经济与贸易教研室获评省级优秀基层教学组织，以《加工贸易项下出口成品报关业务》和《外贸单证实务》“省级课程”为平台，立足长江经济带和中国（湖北）自由贸易试验区的发展需求，以“跨境电子商务”为特色方向，旨在培养外经贸经营管理、咨询服务、进出口贸易与国际营销等方面的高素质应用型国际经济与贸易人才。毕业生可在跨境电商企业、外贸企业、跨境物流企业、政府部门及事业单位从事国际经济与贸易相关工作。</w:t>
      </w:r>
    </w:p>
    <w:p>
      <w:pPr>
        <w:spacing w:after="0" w:line="360" w:lineRule="auto"/>
        <w:ind w:firstLine="602" w:firstLineChars="200"/>
        <w:jc w:val="both"/>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（三）新闻学</w:t>
      </w:r>
    </w:p>
    <w:p>
      <w:pPr>
        <w:spacing w:line="360" w:lineRule="auto"/>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本专业是“国家级一流本科专业”，“移动新闻传播课程群”教学团队获批省级教学团队、新闻传播实务教研室获批湖北省优秀基层教学组织。本专业以《新闻采访》和《融合新闻报道》“省级课程”为平台，旨在培养具备全媒体报道能力、新闻信息表达能力、创意设计能力的应用型高素质新闻传播人才。毕业生可在政府机构、新闻出版行业、文化传媒企业从事新闻采写与编辑、节目策划与制作、数字化出版、新媒体开发与运营等工作。</w:t>
      </w:r>
    </w:p>
    <w:p>
      <w:pPr>
        <w:spacing w:line="400" w:lineRule="exact"/>
        <w:ind w:firstLine="602" w:firstLineChars="200"/>
        <w:rPr>
          <w:rFonts w:ascii="仿宋_GB2312" w:hAnsi="仿宋_GB2312" w:eastAsia="仿宋_GB2312" w:cs="仿宋_GB2312"/>
          <w:b/>
          <w:color w:val="000000"/>
          <w:sz w:val="30"/>
          <w:szCs w:val="30"/>
        </w:rPr>
      </w:pPr>
      <w:r>
        <w:rPr>
          <w:rFonts w:hint="eastAsia" w:ascii="仿宋_GB2312" w:hAnsi="仿宋_GB2312" w:eastAsia="仿宋_GB2312" w:cs="仿宋_GB2312"/>
          <w:b/>
          <w:color w:val="000000"/>
          <w:sz w:val="30"/>
          <w:szCs w:val="30"/>
        </w:rPr>
        <w:t>（四）广告学</w:t>
      </w:r>
    </w:p>
    <w:p>
      <w:pPr>
        <w:spacing w:line="54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本专业培养德智体美劳全面发展，掌握广告学、市场营销学、传播学等知识，具备广告调查与分析、广告文案写作、广告策划、广告创意与设计、媒介投放与评估等专业能力，具有较强的政治素养、艺术美学素养、广告传播素养和创新意识，能够胜任广告策划与创意、广告设计与制作、新媒体整合营销、企业品牌管理等工作的高素质应用型人才。毕业生可以就职于互联网公司、文化传媒集团、广告公关公司、市场调查咨询公司，也可以在政府、企事业单位从事广告策划、数字营销、市场公关、品牌管理等工作。</w:t>
      </w:r>
      <w:bookmarkStart w:id="1" w:name="_GoBack"/>
      <w:bookmarkEnd w:id="1"/>
    </w:p>
    <w:p>
      <w:pPr>
        <w:numPr>
          <w:ilvl w:val="0"/>
          <w:numId w:val="1"/>
        </w:numPr>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机械设计制造及其自动化</w:t>
      </w:r>
    </w:p>
    <w:p>
      <w:pPr>
        <w:spacing w:line="360" w:lineRule="auto"/>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本专业为“省级一流</w:t>
      </w:r>
      <w:r>
        <w:rPr>
          <w:rFonts w:hint="eastAsia" w:ascii="仿宋_GB2312" w:hAnsi="仿宋_GB2312" w:eastAsia="仿宋_GB2312" w:cs="仿宋_GB2312"/>
          <w:color w:val="000000"/>
          <w:sz w:val="30"/>
          <w:szCs w:val="30"/>
          <w:lang w:eastAsia="zh-CN"/>
        </w:rPr>
        <w:t>本科</w:t>
      </w:r>
      <w:r>
        <w:rPr>
          <w:rFonts w:hint="eastAsia" w:ascii="仿宋_GB2312" w:hAnsi="仿宋_GB2312" w:eastAsia="仿宋_GB2312" w:cs="仿宋_GB2312"/>
          <w:color w:val="000000"/>
          <w:sz w:val="30"/>
          <w:szCs w:val="30"/>
        </w:rPr>
        <w:t>专业”，建有湖北省优秀教学团队，获批湖北省本科高校“专业综合改革试点”项目，湖北省“荆楚卓越工程师协同育人计划”项目，是湖北省“楚天学者设岗学科”，形成了以工业机器人技术为核心的智能制造特色方向。旨在培养服务于机械、汽车、航空航天、通信等高端制造企业与现代机电产品设计和制造企业的高素质应用型工程技术人才，毕业生可在相关领域从事机电产品的设计制造、技术开发、工程应用、设备维护、生产管理、销售服务等工作。</w:t>
      </w:r>
    </w:p>
    <w:p>
      <w:pPr>
        <w:ind w:firstLine="602" w:firstLineChars="200"/>
        <w:rPr>
          <w:rFonts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（六）电气工程及其自动化</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color w:val="000000"/>
          <w:sz w:val="30"/>
          <w:szCs w:val="30"/>
        </w:rPr>
        <w:t>本专业为“省级一流</w:t>
      </w:r>
      <w:r>
        <w:rPr>
          <w:rFonts w:hint="eastAsia" w:ascii="仿宋_GB2312" w:hAnsi="仿宋_GB2312" w:eastAsia="仿宋_GB2312" w:cs="仿宋_GB2312"/>
          <w:color w:val="000000"/>
          <w:sz w:val="30"/>
          <w:szCs w:val="30"/>
          <w:lang w:eastAsia="zh-CN"/>
        </w:rPr>
        <w:t>本科</w:t>
      </w:r>
      <w:r>
        <w:rPr>
          <w:rFonts w:hint="eastAsia" w:ascii="仿宋_GB2312" w:hAnsi="仿宋_GB2312" w:eastAsia="仿宋_GB2312" w:cs="仿宋_GB2312"/>
          <w:color w:val="000000"/>
          <w:sz w:val="30"/>
          <w:szCs w:val="30"/>
        </w:rPr>
        <w:t>专业”，建有“省一流课程”，获批湖北省普通高等学校战略性新兴(支柱)产业人才培养计划本科项目，旨在培养服务于智能电网、新能源等装备制造和供配电相关企业的高素质应用型工程技术人才，毕业生可在电力行业、电气装备制造、新能源汽车、再生能源等单位从事设计、技术服务、设备维护、营销、管理等相关工作。</w:t>
      </w:r>
    </w:p>
    <w:p>
      <w:pPr>
        <w:spacing w:after="0" w:line="360" w:lineRule="auto"/>
        <w:ind w:firstLine="602" w:firstLineChars="200"/>
        <w:jc w:val="both"/>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（七）电子信息工程</w:t>
      </w:r>
    </w:p>
    <w:p>
      <w:pPr>
        <w:spacing w:line="360" w:lineRule="auto"/>
        <w:ind w:firstLine="600" w:firstLineChars="200"/>
        <w:rPr>
          <w:rFonts w:ascii="仿宋_GB2312" w:hAnsi="仿宋_GB2312" w:eastAsia="仿宋_GB2312" w:cs="仿宋_GB2312"/>
          <w:color w:val="000000"/>
          <w:sz w:val="28"/>
          <w:szCs w:val="28"/>
        </w:rPr>
      </w:pPr>
      <w:r>
        <w:rPr>
          <w:rFonts w:hint="eastAsia" w:ascii="仿宋_GB2312" w:hAnsi="仿宋_GB2312" w:eastAsia="仿宋_GB2312" w:cs="仿宋_GB2312"/>
          <w:sz w:val="30"/>
          <w:szCs w:val="30"/>
        </w:rPr>
        <w:t>本专业是“省级一流本科专业”，集现代电子技术、信息技术、通信技术于一体，是学校特色专业。依托“通信与信息工程”湖北省实验教学示范中心，</w:t>
      </w:r>
      <w:r>
        <w:rPr>
          <w:rFonts w:ascii="仿宋_GB2312" w:hAnsi="仿宋_GB2312" w:eastAsia="仿宋_GB2312" w:cs="仿宋_GB2312"/>
          <w:sz w:val="30"/>
          <w:szCs w:val="30"/>
        </w:rPr>
        <w:t>以</w:t>
      </w:r>
      <w:r>
        <w:rPr>
          <w:rFonts w:hint="eastAsia" w:ascii="仿宋_GB2312" w:hAnsi="仿宋_GB2312" w:eastAsia="仿宋_GB2312" w:cs="仿宋_GB2312"/>
          <w:sz w:val="30"/>
          <w:szCs w:val="30"/>
        </w:rPr>
        <w:t>智能传感系统开发及智能信息处理为特色方向，旨在培养在信息采集、信息处理、信息传输等方面具有创新能力的高素质应用型工程技术人才。毕业生可在企事业单位、公司、政府机关等部门从事电子设备和信息系统的设计、应用软件开发以及技术管理工作。</w:t>
      </w:r>
    </w:p>
    <w:p>
      <w:pPr>
        <w:spacing w:after="0" w:line="360" w:lineRule="auto"/>
        <w:ind w:firstLine="602" w:firstLineChars="200"/>
        <w:jc w:val="both"/>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（八）通信工程</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专业是“省级一流本科专业”、“湖北省重点培育本科专业”、“湖北省专业综合改革试点专业”、“湖北省战略性新兴（支柱）产业计划项目专业”。与大型通信央企大唐移动通信设备有限公司共同设立“大唐移动试验班”，旨在培养面向现代移动通信领域的高素质应用型通信工程专门人才。毕业生可在移动通信行业和电信行业从事应用软件或硬件系统的设计、制造、维护、优化、开发和应用等方面工作。</w:t>
      </w:r>
    </w:p>
    <w:p>
      <w:pPr>
        <w:spacing w:after="0" w:line="360" w:lineRule="auto"/>
        <w:ind w:firstLine="602" w:firstLineChars="200"/>
        <w:jc w:val="both"/>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（九）电子与计算机工程</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专业将电子技术、控制技术和计算机技术相融合，集软件设计与硬件设计为一体，是教育部特设专业。旨在培养在嵌入式系统开发及智能网联技术领域从事电子与计算机系统的软硬件设计与研发的高素质应用型专门人才。毕业生可在相关企业从事智能系统和产品的软硬件设计与研发、综合技术支持与管理、设备安装与调试、技术维护等方面的工作。</w:t>
      </w:r>
    </w:p>
    <w:p>
      <w:pPr>
        <w:ind w:firstLine="602" w:firstLineChars="200"/>
        <w:rPr>
          <w:rFonts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（十）计算机科学与技术</w:t>
      </w:r>
    </w:p>
    <w:p>
      <w:pPr>
        <w:spacing w:line="360" w:lineRule="auto"/>
        <w:ind w:firstLine="560" w:firstLineChars="200"/>
        <w:rPr>
          <w:rFonts w:ascii="仿宋_GB2312" w:hAnsi="仿宋_GB2312" w:eastAsia="仿宋_GB2312" w:cs="仿宋_GB2312"/>
          <w:sz w:val="30"/>
          <w:szCs w:val="30"/>
        </w:rPr>
      </w:pPr>
      <w:r>
        <w:rPr>
          <w:rFonts w:hint="eastAsia" w:ascii="仿宋_GB2312" w:hAnsi="仿宋_GB2312" w:eastAsia="仿宋_GB2312" w:cs="仿宋_GB2312"/>
          <w:color w:val="000000"/>
          <w:sz w:val="28"/>
          <w:szCs w:val="28"/>
        </w:rPr>
        <w:t>本专业是</w:t>
      </w:r>
      <w:r>
        <w:rPr>
          <w:rFonts w:hint="eastAsia" w:ascii="仿宋_GB2312" w:hAnsi="仿宋_GB2312" w:eastAsia="仿宋_GB2312" w:cs="仿宋_GB2312"/>
          <w:sz w:val="30"/>
          <w:szCs w:val="30"/>
        </w:rPr>
        <w:t>“省</w:t>
      </w:r>
      <w:r>
        <w:rPr>
          <w:rFonts w:hint="eastAsia" w:ascii="仿宋_GB2312" w:hAnsi="仿宋_GB2312" w:eastAsia="仿宋_GB2312" w:cs="仿宋_GB2312"/>
          <w:sz w:val="30"/>
          <w:szCs w:val="30"/>
          <w:lang w:eastAsia="zh-CN"/>
        </w:rPr>
        <w:t>级</w:t>
      </w:r>
      <w:r>
        <w:rPr>
          <w:rFonts w:hint="eastAsia" w:ascii="仿宋_GB2312" w:hAnsi="仿宋_GB2312" w:eastAsia="仿宋_GB2312" w:cs="仿宋_GB2312"/>
          <w:sz w:val="30"/>
          <w:szCs w:val="30"/>
        </w:rPr>
        <w:t>一流本科专业”、“湖北省专业综合改革试点专业”、“湖北省战略性新兴（支柱）产业计划项目专业”。与达内时代科技公司合作办学，设置人工智能、云计算、移动互联网特色方向。旨在培养能胜任计算机应用技术研究、计算机系统设计与开发等高素质应用型专门人才。毕业后主要从事计算机软硬件、网络工程与通信、人工智能、嵌入式新技术研究。</w:t>
      </w:r>
    </w:p>
    <w:p>
      <w:pPr>
        <w:ind w:firstLine="602" w:firstLineChars="200"/>
        <w:rPr>
          <w:rFonts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（十一）软件工程</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本专业是“省</w:t>
      </w:r>
      <w:r>
        <w:rPr>
          <w:rFonts w:hint="eastAsia" w:ascii="仿宋_GB2312" w:hAnsi="仿宋_GB2312" w:eastAsia="仿宋_GB2312" w:cs="仿宋_GB2312"/>
          <w:sz w:val="30"/>
          <w:szCs w:val="30"/>
          <w:lang w:eastAsia="zh-CN"/>
        </w:rPr>
        <w:t>级</w:t>
      </w:r>
      <w:r>
        <w:rPr>
          <w:rFonts w:hint="eastAsia" w:ascii="仿宋_GB2312" w:hAnsi="仿宋_GB2312" w:eastAsia="仿宋_GB2312" w:cs="仿宋_GB2312"/>
          <w:sz w:val="30"/>
          <w:szCs w:val="30"/>
        </w:rPr>
        <w:t>一流本科专业”、“楚天学者”设岗学科、“荆楚卓越人才”协同育人计划专业、湖北省战略性新兴（支柱）产业人才培养计划专业、湖北省专业综合改革试点项目专业、湖北省服务外包人才培养对口专业。本专业旨在培养具有软件开发以及软件开发实践的初步经验和项目组织的基本能力，能从事软件工程应用技术研究、设计、开发、管理、服务等工作的高素质应用型专门人才。毕业后主要从事软件工程技术、软件服务工程、领域软件工程研究。</w:t>
      </w:r>
    </w:p>
    <w:p>
      <w:pPr>
        <w:spacing w:after="0" w:line="360" w:lineRule="auto"/>
        <w:ind w:firstLine="602" w:firstLineChars="200"/>
        <w:jc w:val="both"/>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（十二）生物制药</w:t>
      </w:r>
    </w:p>
    <w:p>
      <w:pPr>
        <w:spacing w:after="0" w:line="360" w:lineRule="auto"/>
        <w:ind w:firstLine="600" w:firstLineChars="200"/>
        <w:jc w:val="both"/>
        <w:rPr>
          <w:rFonts w:ascii="仿宋_GB2312" w:hAnsi="仿宋_GB2312" w:eastAsia="仿宋_GB2312" w:cs="仿宋_GB2312"/>
          <w:sz w:val="30"/>
          <w:szCs w:val="30"/>
        </w:rPr>
      </w:pPr>
      <w:r>
        <w:rPr>
          <w:rFonts w:hint="eastAsia" w:ascii="仿宋_GB2312" w:hAnsi="仿宋_GB2312" w:eastAsia="仿宋_GB2312" w:cs="仿宋_GB2312"/>
          <w:sz w:val="30"/>
          <w:szCs w:val="30"/>
        </w:rPr>
        <w:t>本专业是湖北省战略性新兴（支柱）产业人才培养计划专业。设立医药卫生检疫检测方向和药事管理两个方向，服务我国目前发展最为迅猛、效益最高的产业，旨在培养药物设计、医药卫生检疫检测和药事管理等方面的高素质应用型药学专门人才。与药明康德新药开发有限公司合作，开设定向班，突出执业药师、药剂师等职业资格训练。毕业生可在医药、生物和化学相关领域从事科学研究、新药开发、生产管理、质量控制、检疫检测和药事管理等工作。</w:t>
      </w:r>
    </w:p>
    <w:p>
      <w:pPr>
        <w:spacing w:after="0" w:line="360" w:lineRule="auto"/>
        <w:ind w:firstLine="602" w:firstLineChars="200"/>
        <w:jc w:val="both"/>
        <w:rPr>
          <w:rFonts w:ascii="仿宋_GB2312" w:hAnsi="仿宋_GB2312" w:eastAsia="仿宋_GB2312" w:cs="仿宋_GB2312"/>
          <w:b/>
          <w:sz w:val="30"/>
          <w:szCs w:val="30"/>
        </w:rPr>
      </w:pPr>
      <w:r>
        <w:rPr>
          <w:rFonts w:hint="eastAsia" w:ascii="仿宋_GB2312" w:hAnsi="仿宋_GB2312" w:eastAsia="仿宋_GB2312" w:cs="仿宋_GB2312"/>
          <w:b/>
          <w:sz w:val="30"/>
          <w:szCs w:val="30"/>
        </w:rPr>
        <w:t>（十三）护理学</w:t>
      </w:r>
    </w:p>
    <w:p>
      <w:pPr>
        <w:spacing w:after="0" w:line="360" w:lineRule="auto"/>
        <w:ind w:firstLine="600" w:firstLineChars="200"/>
        <w:jc w:val="both"/>
        <w:rPr>
          <w:rFonts w:ascii="仿宋_GB2312" w:hAnsi="等线" w:eastAsia="仿宋_GB2312"/>
          <w:bCs/>
          <w:kern w:val="2"/>
          <w:sz w:val="30"/>
          <w:szCs w:val="30"/>
        </w:rPr>
      </w:pPr>
      <w:r>
        <w:rPr>
          <w:rFonts w:hint="eastAsia" w:ascii="仿宋_GB2312" w:hAnsi="仿宋_GB2312" w:eastAsia="仿宋_GB2312" w:cs="仿宋_GB2312"/>
          <w:kern w:val="2"/>
          <w:sz w:val="30"/>
          <w:szCs w:val="30"/>
        </w:rPr>
        <w:t>本专业着力打造</w:t>
      </w:r>
      <w:r>
        <w:rPr>
          <w:rFonts w:hint="eastAsia" w:ascii="仿宋_GB2312" w:hAnsi="Times New Roman" w:eastAsia="仿宋_GB2312"/>
          <w:bCs/>
          <w:kern w:val="2"/>
          <w:sz w:val="30"/>
          <w:szCs w:val="30"/>
        </w:rPr>
        <w:t>康复保健特色，社会需求大、专业技术强、工资待遇较高、发展前景较好、就业稳定。设置中医特色护理、母婴护理两个专业方向。培养掌握护理学专业知识和技能，具备临床护理工作能力，具有一定的教学能力、管理能力、科研能力及创新能力的高素质应用型护理人才。毕业生</w:t>
      </w:r>
      <w:r>
        <w:rPr>
          <w:rFonts w:hint="eastAsia" w:ascii="仿宋_GB2312" w:hAnsi="等线" w:eastAsia="仿宋_GB2312"/>
          <w:bCs/>
          <w:kern w:val="2"/>
          <w:sz w:val="30"/>
          <w:szCs w:val="30"/>
        </w:rPr>
        <w:t>可在各大综合性医院、妇幼保健院、社区医院、保健机构、医学院校护理教学和科研机构等单位就业。</w:t>
      </w:r>
    </w:p>
    <w:p>
      <w:pPr>
        <w:ind w:firstLine="602" w:firstLineChars="200"/>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（十四）财务管理</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专业与新道科技股份有限公司强强联合，共建“新道财经学院”，开设了“用友新道财务管理定向班”，共同培养“云财务管理”方面的高素质应用型财务管理专门人才。毕业生优先推荐到用友集团及其成员企业、用友合作伙伴企业，从事云财务管理相关岗位工作；也可在会计事务所以及企业、政府机构、事业单位、银行等财务部门自主择业，从事财务管理、成本核算、财务咨询、资本管理等工作。</w:t>
      </w:r>
    </w:p>
    <w:p>
      <w:pPr>
        <w:ind w:firstLine="602" w:firstLineChars="200"/>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（十五）电子商务</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专业是“国家级一流本科专业”、“湖北省重点专业”、“湖北省服务外包人才培养（训）基地”，以农业电子商务湖北省协同创新中心为平台，以《电子商务概论》“省级精品资源共享课”为引领，以省级教学团队和省级优秀基层组织为支撑，着力培养电子商务运营、网络营销策划、数据分析等方面的高素质应用型人才。毕业生可在电子商务企业、企业的电子商务部门、各级行政管理部门从事电子商务系统设计、开发、运营、管理、网络营销与策划、数据分析等工作。</w:t>
      </w:r>
    </w:p>
    <w:p>
      <w:pPr>
        <w:ind w:firstLine="602" w:firstLineChars="200"/>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（十六）旅游管理</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专业以省级重点学科工商管理学科为依托，以“全国生态文化村”和“全国绿色小康村”田野集团股份有限公司、国家4A级旅游景区“田野乡村公园”等为实习基地，以“休闲旅游”、“文化旅游”为专业方向，旨在培养旅行社管理、旅游规划、导游业务、旅游活动策划等方面的高素质应用型人才。毕业生可在旅行社、星级酒店、旅游景区、政府旅游管理部门、涉外部门等企事业单位从事旅游经营、管理、规划、开发、策划、营销等工作。</w:t>
      </w:r>
    </w:p>
    <w:p>
      <w:pPr>
        <w:spacing w:after="0" w:line="360" w:lineRule="auto"/>
        <w:ind w:firstLine="602" w:firstLineChars="200"/>
        <w:jc w:val="both"/>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（十七）环境设计</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专业为“省级一流本科专业”，获批优秀教学团队，湖北省一流金课，以“虚拟仿真情境再现实训中心”和“虚拟影像建筑技术应用”为平台，以设计师职业训练为导向，以创新创造能力为核心，德智体美全面发展，涵盖建筑工程技术、人文艺术与城市设计，旨在提高学生的人文素养和科学素质，培养较高的设计能力、审美修养以及扎实的专业技能，和较强的动手能力与团队合作能力。毕业生能在环境设计类企业从事公共建筑室内设计、居住空间设计、城市环境景观与社区环境景观设计、园林设计，并具备项目策划与经营管理能力，教学与科研工作能力的高素质环境艺术应用型和研究型人才。</w:t>
      </w:r>
    </w:p>
    <w:p>
      <w:pPr>
        <w:spacing w:after="0" w:line="360" w:lineRule="auto"/>
        <w:ind w:firstLine="602" w:firstLineChars="200"/>
        <w:jc w:val="both"/>
        <w:rPr>
          <w:rFonts w:ascii="仿宋_GB2312" w:hAnsi="仿宋_GB2312" w:eastAsia="仿宋_GB2312" w:cs="仿宋_GB2312"/>
          <w:sz w:val="30"/>
          <w:szCs w:val="30"/>
        </w:rPr>
      </w:pPr>
      <w:r>
        <w:rPr>
          <w:rFonts w:hint="eastAsia" w:ascii="仿宋_GB2312" w:hAnsi="仿宋_GB2312" w:eastAsia="仿宋_GB2312" w:cs="仿宋_GB2312"/>
          <w:b/>
          <w:bCs/>
          <w:sz w:val="30"/>
          <w:szCs w:val="30"/>
        </w:rPr>
        <w:t>（十八）数字媒体艺术</w:t>
      </w:r>
      <w:r>
        <w:rPr>
          <w:rFonts w:hint="eastAsia" w:ascii="仿宋_GB2312" w:hAnsi="仿宋_GB2312" w:eastAsia="仿宋_GB2312" w:cs="仿宋_GB2312"/>
          <w:sz w:val="30"/>
          <w:szCs w:val="30"/>
        </w:rPr>
        <w:t xml:space="preserve"> </w:t>
      </w:r>
    </w:p>
    <w:p>
      <w:pPr>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数字媒体艺术专业通过系统学习影视动画与微电影拍摄的基础知识、专业技能，培养学生能够掌握相应的设计思维，表达、沟通和管理技能，同时具备前期策划、影视动画与微电影的中期制作以及后期特效制作等方面的能力。本专业为校级特色专业，已与多家企业达成联合培养人才协议，设置影视动画、影视栏目包装和微电影拍摄等教学模块，进行实战技能培养，使学生熟悉一线制作流程，本着“毕业即就业”的原则，培养全面、前沿、适合设计类企事业、科研机构等单位需要的数字媒体艺术专业人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ED3FBE"/>
    <w:multiLevelType w:val="multilevel"/>
    <w:tmpl w:val="30ED3FBE"/>
    <w:lvl w:ilvl="0" w:tentative="0">
      <w:start w:val="5"/>
      <w:numFmt w:val="japaneseCounting"/>
      <w:lvlText w:val="（%1）"/>
      <w:lvlJc w:val="left"/>
      <w:pPr>
        <w:ind w:left="918" w:hanging="1080"/>
      </w:pPr>
      <w:rPr>
        <w:rFonts w:hint="default"/>
      </w:rPr>
    </w:lvl>
    <w:lvl w:ilvl="1" w:tentative="0">
      <w:start w:val="1"/>
      <w:numFmt w:val="lowerLetter"/>
      <w:lvlText w:val="%2)"/>
      <w:lvlJc w:val="left"/>
      <w:pPr>
        <w:ind w:left="678" w:hanging="420"/>
      </w:pPr>
    </w:lvl>
    <w:lvl w:ilvl="2" w:tentative="0">
      <w:start w:val="1"/>
      <w:numFmt w:val="lowerRoman"/>
      <w:lvlText w:val="%3."/>
      <w:lvlJc w:val="right"/>
      <w:pPr>
        <w:ind w:left="1098" w:hanging="420"/>
      </w:pPr>
    </w:lvl>
    <w:lvl w:ilvl="3" w:tentative="0">
      <w:start w:val="1"/>
      <w:numFmt w:val="decimal"/>
      <w:lvlText w:val="%4."/>
      <w:lvlJc w:val="left"/>
      <w:pPr>
        <w:ind w:left="1518" w:hanging="420"/>
      </w:pPr>
    </w:lvl>
    <w:lvl w:ilvl="4" w:tentative="0">
      <w:start w:val="1"/>
      <w:numFmt w:val="lowerLetter"/>
      <w:lvlText w:val="%5)"/>
      <w:lvlJc w:val="left"/>
      <w:pPr>
        <w:ind w:left="1938" w:hanging="420"/>
      </w:pPr>
    </w:lvl>
    <w:lvl w:ilvl="5" w:tentative="0">
      <w:start w:val="1"/>
      <w:numFmt w:val="lowerRoman"/>
      <w:lvlText w:val="%6."/>
      <w:lvlJc w:val="right"/>
      <w:pPr>
        <w:ind w:left="2358" w:hanging="420"/>
      </w:pPr>
    </w:lvl>
    <w:lvl w:ilvl="6" w:tentative="0">
      <w:start w:val="1"/>
      <w:numFmt w:val="decimal"/>
      <w:lvlText w:val="%7."/>
      <w:lvlJc w:val="left"/>
      <w:pPr>
        <w:ind w:left="2778" w:hanging="420"/>
      </w:pPr>
    </w:lvl>
    <w:lvl w:ilvl="7" w:tentative="0">
      <w:start w:val="1"/>
      <w:numFmt w:val="lowerLetter"/>
      <w:lvlText w:val="%8)"/>
      <w:lvlJc w:val="left"/>
      <w:pPr>
        <w:ind w:left="3198" w:hanging="420"/>
      </w:pPr>
    </w:lvl>
    <w:lvl w:ilvl="8" w:tentative="0">
      <w:start w:val="1"/>
      <w:numFmt w:val="lowerRoman"/>
      <w:lvlText w:val="%9."/>
      <w:lvlJc w:val="right"/>
      <w:pPr>
        <w:ind w:left="3618"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jMzA4ZmY2NGI5NzVlMGNmNjkyYjFkNDQyNjVjZTYifQ=="/>
  </w:docVars>
  <w:rsids>
    <w:rsidRoot w:val="54EB30DC"/>
    <w:rsid w:val="54EB30DC"/>
    <w:rsid w:val="64F63B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3693</Words>
  <Characters>3697</Characters>
  <Lines>0</Lines>
  <Paragraphs>0</Paragraphs>
  <TotalTime>5</TotalTime>
  <ScaleCrop>false</ScaleCrop>
  <LinksUpToDate>false</LinksUpToDate>
  <CharactersWithSpaces>3698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2023-03-16T00:55:00Z</dcterms:created>
  <dc:creator>徐走罗拉</dc:creator>
  <cp:lastModifiedBy>徐走罗拉</cp:lastModifiedBy>
  <dcterms:modified xsi:type="dcterms:W3CDTF">2023-03-16T01:29:06Z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D54AE3E503034D6FB12FE331E975EFD7</vt:lpwstr>
  </property>
</Properties>
</file>