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spacing w:before="10"/>
        <w:ind w:left="973" w:right="0" w:firstLine="0"/>
        <w:jc w:val="left"/>
        <w:rPr>
          <w:rFonts w:ascii="Arial Unicode MS" w:eastAsia="Arial Unicode MS" w:hint="eastAsia"/>
          <w:sz w:val="72"/>
        </w:rPr>
      </w:pPr>
      <w:r>
        <w:rPr>
          <w:rFonts w:ascii="Arial Unicode MS" w:eastAsia="Arial Unicode MS" w:hint="eastAsia"/>
          <w:color w:val="FF0000"/>
          <w:sz w:val="72"/>
        </w:rPr>
        <w:t>中南财经政法大学文件</w:t>
      </w:r>
    </w:p>
    <w:p>
      <w:pPr>
        <w:pStyle w:val="BodyText"/>
        <w:spacing w:before="6"/>
        <w:ind w:left="0"/>
        <w:rPr>
          <w:rFonts w:ascii="Arial Unicode MS"/>
          <w:sz w:val="20"/>
        </w:rPr>
      </w:pPr>
    </w:p>
    <w:p>
      <w:pPr>
        <w:pStyle w:val="BodyText"/>
        <w:spacing w:before="54"/>
        <w:ind w:left="512" w:right="717"/>
        <w:jc w:val="center"/>
      </w:pPr>
      <w:r>
        <w:rPr>
          <w:spacing w:val="-5"/>
        </w:rPr>
        <w:t>中南大政字〔</w:t>
      </w:r>
      <w:r>
        <w:rPr>
          <w:spacing w:val="-3"/>
        </w:rPr>
        <w:t>2018</w:t>
      </w:r>
      <w:r>
        <w:rPr>
          <w:spacing w:val="-5"/>
        </w:rPr>
        <w:t>〕</w:t>
      </w:r>
      <w:r>
        <w:rPr/>
        <w:t>75</w:t>
      </w:r>
      <w:r>
        <w:rPr>
          <w:spacing w:val="-47"/>
        </w:rPr>
        <w:t> 号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9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78.050003pt,15.748194pt" to="517.400003pt,15.748194pt" stroked="true" strokeweight="2.3pt" strokecolor="#ff0000">
            <v:stroke dashstyle="solid"/>
            <w10:wrap type="topAndBottom"/>
          </v:line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3"/>
        </w:rPr>
      </w:pPr>
    </w:p>
    <w:p>
      <w:pPr>
        <w:pStyle w:val="Heading1"/>
        <w:ind w:left="2862"/>
      </w:pPr>
      <w:r>
        <w:rPr>
          <w:spacing w:val="-3"/>
          <w:w w:val="95"/>
        </w:rPr>
        <w:t>关于印发《中南财经政法大学学术不端行为</w:t>
      </w:r>
      <w:r>
        <w:rPr>
          <w:spacing w:val="-3"/>
        </w:rPr>
        <w:t>查处细则》的通知</w:t>
      </w:r>
    </w:p>
    <w:p>
      <w:pPr>
        <w:pStyle w:val="BodyText"/>
        <w:spacing w:before="9"/>
        <w:ind w:left="0"/>
        <w:rPr>
          <w:b/>
          <w:sz w:val="52"/>
        </w:rPr>
      </w:pPr>
    </w:p>
    <w:p>
      <w:pPr>
        <w:pStyle w:val="BodyText"/>
      </w:pPr>
      <w:r>
        <w:rPr/>
        <w:t>全校各单位：</w:t>
      </w:r>
    </w:p>
    <w:p>
      <w:pPr>
        <w:pStyle w:val="BodyText"/>
        <w:spacing w:line="326" w:lineRule="auto" w:before="149"/>
        <w:ind w:right="265" w:firstLine="628"/>
      </w:pPr>
      <w:r>
        <w:rPr>
          <w:spacing w:val="-3"/>
          <w:w w:val="95"/>
        </w:rPr>
        <w:t>《中南财经政法大学学术不端行为查处细则》已经校学术委 </w:t>
      </w:r>
      <w:r>
        <w:rPr>
          <w:spacing w:val="-5"/>
        </w:rPr>
        <w:t>员会审议通过，现予以印发，请遵照执行。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1"/>
        </w:rPr>
      </w:pPr>
      <w:r>
        <w:rPr/>
        <w:pict>
          <v:group style="position:absolute;margin-left:339.23999pt;margin-top:15.678125pt;width:126.5pt;height:112.6pt;mso-position-horizontal-relative:page;mso-position-vertical-relative:paragraph;z-index:-251656192;mso-wrap-distance-left:0;mso-wrap-distance-right:0" coordorigin="6785,314" coordsize="2530,2252">
            <v:shape style="position:absolute;left:6957;top:313;width:2252;height:2252" type="#_x0000_t75" stroked="false">
              <v:imagedata r:id="rId6" o:title=""/>
            </v:shape>
            <v:shape style="position:absolute;left:6784;top:313;width:2530;height:225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2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2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46"/>
                      </w:rPr>
                    </w:pPr>
                  </w:p>
                  <w:p>
                    <w:pPr>
                      <w:spacing w:line="235" w:lineRule="auto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pacing w:val="-7"/>
                        <w:sz w:val="32"/>
                      </w:rPr>
                      <w:t>中南财经政法大学</w:t>
                    </w:r>
                    <w:r>
                      <w:rPr>
                        <w:sz w:val="32"/>
                      </w:rPr>
                      <w:t>2018</w:t>
                    </w:r>
                    <w:r>
                      <w:rPr>
                        <w:spacing w:val="-58"/>
                        <w:sz w:val="32"/>
                      </w:rPr>
                      <w:t> 年 </w:t>
                    </w:r>
                    <w:r>
                      <w:rPr>
                        <w:sz w:val="32"/>
                      </w:rPr>
                      <w:t>4</w:t>
                    </w:r>
                    <w:r>
                      <w:rPr>
                        <w:spacing w:val="-58"/>
                        <w:sz w:val="32"/>
                      </w:rPr>
                      <w:t> 月 </w:t>
                    </w:r>
                    <w:r>
                      <w:rPr>
                        <w:sz w:val="32"/>
                      </w:rPr>
                      <w:t>24</w:t>
                    </w:r>
                    <w:r>
                      <w:rPr>
                        <w:spacing w:val="-42"/>
                        <w:sz w:val="32"/>
                      </w:rPr>
                      <w:t> 日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4"/>
        </w:rPr>
      </w:pPr>
      <w:r>
        <w:rPr/>
        <w:pict>
          <v:line style="position:absolute;mso-position-horizontal-relative:page;mso-position-vertical-relative:paragraph;z-index:-251655168;mso-wrap-distance-left:0;mso-wrap-distance-right:0" from="70.400002pt,17.982500pt" to="529.400002pt,17.982500pt" stroked="true" strokeweight=".48pt" strokecolor="#000000">
            <v:stroke dashstyle="solid"/>
            <w10:wrap type="topAndBottom"/>
          </v:line>
        </w:pict>
      </w:r>
    </w:p>
    <w:p>
      <w:pPr>
        <w:pStyle w:val="BodyText"/>
        <w:tabs>
          <w:tab w:pos="6008" w:val="left" w:leader="none"/>
        </w:tabs>
        <w:spacing w:before="4"/>
        <w:ind w:left="116"/>
      </w:pPr>
      <w:r>
        <w:rPr>
          <w:spacing w:val="-3"/>
        </w:rPr>
        <w:t>中</w:t>
      </w:r>
      <w:r>
        <w:rPr>
          <w:spacing w:val="-5"/>
        </w:rPr>
        <w:t>南</w:t>
      </w:r>
      <w:r>
        <w:rPr>
          <w:spacing w:val="-3"/>
        </w:rPr>
        <w:t>财</w:t>
      </w:r>
      <w:r>
        <w:rPr>
          <w:spacing w:val="-5"/>
        </w:rPr>
        <w:t>经</w:t>
      </w:r>
      <w:r>
        <w:rPr>
          <w:spacing w:val="-3"/>
        </w:rPr>
        <w:t>政法</w:t>
      </w:r>
      <w:r>
        <w:rPr>
          <w:spacing w:val="-5"/>
        </w:rPr>
        <w:t>大</w:t>
      </w:r>
      <w:r>
        <w:rPr>
          <w:spacing w:val="-3"/>
        </w:rPr>
        <w:t>学</w:t>
      </w:r>
      <w:r>
        <w:rPr>
          <w:spacing w:val="-5"/>
        </w:rPr>
        <w:t>办</w:t>
      </w:r>
      <w:r>
        <w:rPr>
          <w:spacing w:val="-3"/>
        </w:rPr>
        <w:t>公</w:t>
      </w:r>
      <w:r>
        <w:rPr/>
        <w:t>室</w:t>
        <w:tab/>
        <w:t>2018</w:t>
      </w:r>
      <w:r>
        <w:rPr>
          <w:spacing w:val="-87"/>
        </w:rPr>
        <w:t> </w:t>
      </w:r>
      <w:r>
        <w:rPr/>
        <w:t>年</w:t>
      </w:r>
      <w:r>
        <w:rPr>
          <w:spacing w:val="-88"/>
        </w:rPr>
        <w:t> </w:t>
      </w:r>
      <w:r>
        <w:rPr/>
        <w:t>4</w:t>
      </w:r>
      <w:r>
        <w:rPr>
          <w:spacing w:val="-84"/>
        </w:rPr>
        <w:t> </w:t>
      </w:r>
      <w:r>
        <w:rPr/>
        <w:t>月</w:t>
      </w:r>
      <w:r>
        <w:rPr>
          <w:spacing w:val="-85"/>
        </w:rPr>
        <w:t> </w:t>
      </w:r>
      <w:r>
        <w:rPr/>
        <w:t>24</w:t>
      </w:r>
      <w:r>
        <w:rPr>
          <w:spacing w:val="-87"/>
        </w:rPr>
        <w:t> </w:t>
      </w:r>
      <w:r>
        <w:rPr>
          <w:spacing w:val="-3"/>
        </w:rPr>
        <w:t>日</w:t>
      </w:r>
      <w:r>
        <w:rPr>
          <w:spacing w:val="-5"/>
        </w:rPr>
        <w:t>印</w:t>
      </w:r>
      <w:r>
        <w:rPr/>
        <w:t>发</w:t>
      </w:r>
    </w:p>
    <w:p>
      <w:pPr>
        <w:pStyle w:val="BodyText"/>
        <w:spacing w:line="20" w:lineRule="exact"/>
        <w:ind w:left="3"/>
        <w:rPr>
          <w:sz w:val="2"/>
        </w:rPr>
      </w:pPr>
      <w:r>
        <w:rPr>
          <w:sz w:val="2"/>
        </w:rPr>
        <w:pict>
          <v:group style="width:459pt;height:.5pt;mso-position-horizontal-relative:char;mso-position-vertical-relative:line" coordorigin="0,0" coordsize="9180,10">
            <v:line style="position:absolute" from="0,5" to="9180,5" stroked="true" strokeweight=".48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footerReference w:type="default" r:id="rId5"/>
          <w:type w:val="continuous"/>
          <w:pgSz w:w="11910" w:h="16840"/>
          <w:pgMar w:footer="1124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6"/>
        </w:rPr>
      </w:pPr>
    </w:p>
    <w:p>
      <w:pPr>
        <w:pStyle w:val="Heading1"/>
        <w:ind w:right="717" w:firstLine="0"/>
        <w:jc w:val="center"/>
      </w:pPr>
      <w:r>
        <w:rPr/>
        <w:t>中南财经政法大学学术不端行为查处细则</w:t>
      </w:r>
    </w:p>
    <w:p>
      <w:pPr>
        <w:pStyle w:val="BodyText"/>
        <w:spacing w:before="5"/>
        <w:ind w:left="0"/>
        <w:rPr>
          <w:b/>
          <w:sz w:val="46"/>
        </w:rPr>
      </w:pPr>
    </w:p>
    <w:p>
      <w:pPr>
        <w:pStyle w:val="Heading2"/>
        <w:spacing w:line="576" w:lineRule="exact"/>
        <w:ind w:left="615"/>
      </w:pPr>
      <w:r>
        <w:rPr/>
        <w:t>第一章 总则</w:t>
      </w:r>
    </w:p>
    <w:p>
      <w:pPr>
        <w:tabs>
          <w:tab w:pos="2087" w:val="left" w:leader="none"/>
        </w:tabs>
        <w:spacing w:line="228" w:lineRule="auto" w:before="7"/>
        <w:ind w:left="188" w:right="269" w:firstLine="628"/>
        <w:jc w:val="left"/>
        <w:rPr>
          <w:sz w:val="32"/>
        </w:rPr>
      </w:pPr>
      <w:r>
        <w:rPr>
          <w:rFonts w:ascii="微软雅黑" w:hAnsi="微软雅黑" w:eastAsia="微软雅黑" w:hint="eastAsia"/>
          <w:b/>
          <w:spacing w:val="-3"/>
          <w:sz w:val="32"/>
        </w:rPr>
        <w:t>第</w:t>
      </w:r>
      <w:r>
        <w:rPr>
          <w:rFonts w:ascii="微软雅黑" w:hAnsi="微软雅黑" w:eastAsia="微软雅黑" w:hint="eastAsia"/>
          <w:b/>
          <w:sz w:val="32"/>
        </w:rPr>
        <w:t>一条</w:t>
        <w:tab/>
      </w:r>
      <w:r>
        <w:rPr>
          <w:spacing w:val="-3"/>
          <w:w w:val="95"/>
          <w:sz w:val="32"/>
        </w:rPr>
        <w:t>为发展和</w:t>
      </w:r>
      <w:r>
        <w:rPr>
          <w:spacing w:val="-5"/>
          <w:w w:val="95"/>
          <w:sz w:val="32"/>
        </w:rPr>
        <w:t>繁</w:t>
      </w:r>
      <w:r>
        <w:rPr>
          <w:spacing w:val="-3"/>
          <w:w w:val="95"/>
          <w:sz w:val="32"/>
        </w:rPr>
        <w:t>荣学校的科学研究事业</w:t>
      </w:r>
      <w:r>
        <w:rPr>
          <w:spacing w:val="-5"/>
          <w:w w:val="95"/>
          <w:sz w:val="32"/>
        </w:rPr>
        <w:t>，</w:t>
      </w:r>
      <w:r>
        <w:rPr>
          <w:spacing w:val="-3"/>
          <w:w w:val="95"/>
          <w:sz w:val="32"/>
        </w:rPr>
        <w:t>践</w:t>
      </w:r>
      <w:r>
        <w:rPr>
          <w:spacing w:val="-5"/>
          <w:w w:val="95"/>
          <w:sz w:val="32"/>
        </w:rPr>
        <w:t>行“</w:t>
      </w:r>
      <w:r>
        <w:rPr>
          <w:rFonts w:ascii="微软雅黑" w:hAnsi="微软雅黑" w:eastAsia="微软雅黑" w:hint="eastAsia"/>
          <w:b/>
          <w:spacing w:val="-3"/>
          <w:w w:val="95"/>
          <w:sz w:val="32"/>
        </w:rPr>
        <w:t>博</w:t>
      </w:r>
      <w:r>
        <w:rPr>
          <w:rFonts w:ascii="微软雅黑" w:hAnsi="微软雅黑" w:eastAsia="微软雅黑" w:hint="eastAsia"/>
          <w:b/>
          <w:w w:val="95"/>
          <w:sz w:val="32"/>
        </w:rPr>
        <w:t>文明 </w:t>
      </w:r>
      <w:r>
        <w:rPr>
          <w:rFonts w:ascii="微软雅黑" w:hAnsi="微软雅黑" w:eastAsia="微软雅黑" w:hint="eastAsia"/>
          <w:b/>
          <w:spacing w:val="-3"/>
          <w:w w:val="95"/>
          <w:sz w:val="32"/>
        </w:rPr>
        <w:t>理，厚</w:t>
      </w:r>
      <w:r>
        <w:rPr>
          <w:rFonts w:ascii="微软雅黑" w:hAnsi="微软雅黑" w:eastAsia="微软雅黑" w:hint="eastAsia"/>
          <w:b/>
          <w:w w:val="95"/>
          <w:sz w:val="32"/>
        </w:rPr>
        <w:t>德</w:t>
      </w:r>
      <w:r>
        <w:rPr>
          <w:rFonts w:ascii="微软雅黑" w:hAnsi="微软雅黑" w:eastAsia="微软雅黑" w:hint="eastAsia"/>
          <w:b/>
          <w:spacing w:val="-3"/>
          <w:w w:val="95"/>
          <w:sz w:val="32"/>
        </w:rPr>
        <w:t>济世</w:t>
      </w:r>
      <w:r>
        <w:rPr>
          <w:spacing w:val="-3"/>
          <w:w w:val="95"/>
          <w:sz w:val="32"/>
        </w:rPr>
        <w:t>”校</w:t>
      </w:r>
      <w:r>
        <w:rPr>
          <w:spacing w:val="-5"/>
          <w:w w:val="95"/>
          <w:sz w:val="32"/>
        </w:rPr>
        <w:t>训</w:t>
      </w:r>
      <w:r>
        <w:rPr>
          <w:spacing w:val="-3"/>
          <w:w w:val="95"/>
          <w:sz w:val="32"/>
        </w:rPr>
        <w:t>，弘扬优良</w:t>
      </w:r>
      <w:r>
        <w:rPr>
          <w:spacing w:val="-5"/>
          <w:w w:val="95"/>
          <w:sz w:val="32"/>
        </w:rPr>
        <w:t>学</w:t>
      </w:r>
      <w:r>
        <w:rPr>
          <w:spacing w:val="-3"/>
          <w:w w:val="95"/>
          <w:sz w:val="32"/>
        </w:rPr>
        <w:t>风，维护学术</w:t>
      </w:r>
      <w:r>
        <w:rPr>
          <w:spacing w:val="-5"/>
          <w:w w:val="95"/>
          <w:sz w:val="32"/>
        </w:rPr>
        <w:t>诚</w:t>
      </w:r>
      <w:r>
        <w:rPr>
          <w:spacing w:val="-3"/>
          <w:w w:val="95"/>
          <w:sz w:val="32"/>
        </w:rPr>
        <w:t>信</w:t>
      </w:r>
      <w:r>
        <w:rPr>
          <w:spacing w:val="-5"/>
          <w:w w:val="95"/>
          <w:sz w:val="32"/>
        </w:rPr>
        <w:t>，</w:t>
      </w:r>
      <w:r>
        <w:rPr>
          <w:spacing w:val="-3"/>
          <w:w w:val="95"/>
          <w:sz w:val="32"/>
        </w:rPr>
        <w:t>规范学</w:t>
      </w:r>
      <w:r>
        <w:rPr>
          <w:w w:val="95"/>
          <w:sz w:val="32"/>
        </w:rPr>
        <w:t>术</w:t>
      </w:r>
    </w:p>
    <w:p>
      <w:pPr>
        <w:pStyle w:val="BodyText"/>
        <w:spacing w:line="328" w:lineRule="auto" w:before="79"/>
        <w:ind w:right="106"/>
      </w:pPr>
      <w:r>
        <w:rPr>
          <w:spacing w:val="-3"/>
        </w:rPr>
        <w:t>行为，鼓励学术创新，有效预防和严肃查处学术不端行为，促进</w:t>
      </w:r>
      <w:r>
        <w:rPr>
          <w:spacing w:val="-16"/>
          <w:w w:val="95"/>
        </w:rPr>
        <w:t>学校的科研事业健康、繁荣和持续发展，根据国家有关法律法规， </w:t>
      </w:r>
      <w:r>
        <w:rPr>
          <w:spacing w:val="-5"/>
        </w:rPr>
        <w:t>结合学校实际情况，特制定本细则。</w:t>
      </w:r>
    </w:p>
    <w:p>
      <w:pPr>
        <w:pStyle w:val="BodyText"/>
        <w:tabs>
          <w:tab w:pos="2151" w:val="left" w:leader="none"/>
        </w:tabs>
        <w:spacing w:line="482" w:lineRule="exact"/>
        <w:ind w:left="817"/>
      </w:pPr>
      <w:r>
        <w:rPr>
          <w:rFonts w:ascii="微软雅黑" w:eastAsia="微软雅黑" w:hint="eastAsia"/>
          <w:b/>
          <w:spacing w:val="12"/>
        </w:rPr>
        <w:t>第</w:t>
      </w:r>
      <w:r>
        <w:rPr>
          <w:rFonts w:ascii="微软雅黑" w:eastAsia="微软雅黑" w:hint="eastAsia"/>
          <w:b/>
          <w:spacing w:val="9"/>
        </w:rPr>
        <w:t>二</w:t>
      </w:r>
      <w:r>
        <w:rPr>
          <w:rFonts w:ascii="微软雅黑" w:eastAsia="微软雅黑" w:hint="eastAsia"/>
          <w:b/>
        </w:rPr>
        <w:t>条</w:t>
        <w:tab/>
      </w:r>
      <w:r>
        <w:rPr>
          <w:spacing w:val="9"/>
        </w:rPr>
        <w:t>本细</w:t>
      </w:r>
      <w:r>
        <w:rPr>
          <w:spacing w:val="12"/>
        </w:rPr>
        <w:t>则</w:t>
      </w:r>
      <w:r>
        <w:rPr>
          <w:spacing w:val="9"/>
        </w:rPr>
        <w:t>适用于中</w:t>
      </w:r>
      <w:r>
        <w:rPr>
          <w:spacing w:val="12"/>
        </w:rPr>
        <w:t>南</w:t>
      </w:r>
      <w:r>
        <w:rPr>
          <w:spacing w:val="9"/>
        </w:rPr>
        <w:t>财经政法大</w:t>
      </w:r>
      <w:r>
        <w:rPr>
          <w:spacing w:val="12"/>
        </w:rPr>
        <w:t>学</w:t>
      </w:r>
      <w:r>
        <w:rPr>
          <w:spacing w:val="9"/>
        </w:rPr>
        <w:t>师生员工</w:t>
      </w:r>
      <w:r>
        <w:rPr>
          <w:spacing w:val="12"/>
        </w:rPr>
        <w:t>和</w:t>
      </w:r>
      <w:r>
        <w:rPr>
          <w:spacing w:val="9"/>
        </w:rPr>
        <w:t>所</w:t>
      </w:r>
      <w:r>
        <w:rPr/>
        <w:t>有</w:t>
      </w:r>
    </w:p>
    <w:p>
      <w:pPr>
        <w:pStyle w:val="BodyText"/>
        <w:spacing w:before="74"/>
      </w:pPr>
      <w:r>
        <w:rPr/>
        <w:t>以中南财经政法大学名义从事学术活动的单位和人员。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Heading2"/>
      </w:pPr>
      <w:r>
        <w:rPr/>
        <w:t>第二章 学术道德规范</w:t>
      </w:r>
    </w:p>
    <w:p>
      <w:pPr>
        <w:pStyle w:val="BodyText"/>
        <w:tabs>
          <w:tab w:pos="2089" w:val="left" w:leader="none"/>
        </w:tabs>
        <w:spacing w:line="575" w:lineRule="exact"/>
        <w:ind w:left="817"/>
      </w:pPr>
      <w:r>
        <w:rPr>
          <w:rFonts w:ascii="微软雅黑" w:eastAsia="微软雅黑" w:hint="eastAsia"/>
          <w:b/>
          <w:spacing w:val="-3"/>
        </w:rPr>
        <w:t>第</w:t>
      </w:r>
      <w:r>
        <w:rPr>
          <w:rFonts w:ascii="微软雅黑" w:eastAsia="微软雅黑" w:hint="eastAsia"/>
          <w:b/>
        </w:rPr>
        <w:t>三条</w:t>
        <w:tab/>
      </w:r>
      <w:r>
        <w:rPr>
          <w:spacing w:val="-3"/>
        </w:rPr>
        <w:t>在科学研究及相关</w:t>
      </w:r>
      <w:r>
        <w:rPr>
          <w:spacing w:val="-5"/>
        </w:rPr>
        <w:t>活</w:t>
      </w:r>
      <w:r>
        <w:rPr>
          <w:spacing w:val="-3"/>
        </w:rPr>
        <w:t>动中，应严格遵守国家有</w:t>
      </w:r>
      <w:r>
        <w:rPr>
          <w:spacing w:val="-5"/>
        </w:rPr>
        <w:t>关</w:t>
      </w:r>
      <w:r>
        <w:rPr/>
        <w:t>法</w:t>
      </w:r>
    </w:p>
    <w:p>
      <w:pPr>
        <w:pStyle w:val="BodyText"/>
        <w:spacing w:line="326" w:lineRule="auto" w:before="74"/>
        <w:ind w:right="262"/>
      </w:pPr>
      <w:r>
        <w:rPr>
          <w:spacing w:val="-3"/>
          <w:w w:val="95"/>
        </w:rPr>
        <w:t>律、法规及学术规范；在各类国际学术活动中，应遵守相应的国 </w:t>
      </w:r>
      <w:r>
        <w:rPr>
          <w:spacing w:val="-5"/>
        </w:rPr>
        <w:t>际规范和惯例。</w:t>
      </w:r>
    </w:p>
    <w:p>
      <w:pPr>
        <w:pStyle w:val="BodyText"/>
        <w:spacing w:line="328" w:lineRule="auto" w:before="3"/>
        <w:ind w:right="265" w:firstLine="628"/>
      </w:pPr>
      <w:r>
        <w:rPr>
          <w:spacing w:val="-3"/>
          <w:w w:val="95"/>
        </w:rPr>
        <w:t>（一）在进行学术评价时，遵循公正、客观、全面、准确的 </w:t>
      </w:r>
      <w:r>
        <w:rPr>
          <w:spacing w:val="-3"/>
        </w:rPr>
        <w:t>原则。</w:t>
      </w:r>
    </w:p>
    <w:p>
      <w:pPr>
        <w:pStyle w:val="BodyText"/>
        <w:spacing w:line="328" w:lineRule="auto"/>
        <w:ind w:right="262" w:firstLine="628"/>
        <w:jc w:val="both"/>
      </w:pPr>
      <w:r>
        <w:rPr>
          <w:spacing w:val="-3"/>
          <w:w w:val="95"/>
        </w:rPr>
        <w:t>（二）学术研究要尊重他人的知识产权，引用他人成果时应 注明出处；所引用的部分不能构成引用人作品的主要部分或实质 </w:t>
      </w:r>
      <w:r>
        <w:rPr>
          <w:spacing w:val="-5"/>
        </w:rPr>
        <w:t>部分；从他人作品转引第三人成果，注明转引出处。</w:t>
      </w:r>
    </w:p>
    <w:p>
      <w:pPr>
        <w:pStyle w:val="BodyText"/>
        <w:spacing w:line="328" w:lineRule="auto"/>
        <w:ind w:right="262" w:firstLine="628"/>
        <w:jc w:val="both"/>
      </w:pPr>
      <w:r>
        <w:rPr>
          <w:spacing w:val="-3"/>
          <w:w w:val="95"/>
        </w:rPr>
        <w:t>（三）合作研究成果在发表前要经过所有署名人审阅，所有 署名人对研究成果负责，合作研究的主持人对研究成果负主要责 </w:t>
      </w:r>
      <w:r>
        <w:rPr>
          <w:spacing w:val="-2"/>
        </w:rPr>
        <w:t>任。</w:t>
      </w:r>
    </w:p>
    <w:p>
      <w:pPr>
        <w:spacing w:after="0" w:line="328" w:lineRule="auto"/>
        <w:jc w:val="both"/>
        <w:sectPr>
          <w:footerReference w:type="default" r:id="rId7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line="326" w:lineRule="auto" w:before="54"/>
        <w:ind w:right="265" w:firstLine="628"/>
      </w:pPr>
      <w:r>
        <w:rPr>
          <w:spacing w:val="-3"/>
          <w:w w:val="95"/>
        </w:rPr>
        <w:t>（四）对于应该经过学术界论证和鉴定的重大科研成果，须 </w:t>
      </w:r>
      <w:r>
        <w:rPr>
          <w:spacing w:val="-5"/>
        </w:rPr>
        <w:t>在论证完成后并经项目主管部门批准，方可向新闻媒体公布。</w:t>
      </w:r>
    </w:p>
    <w:p>
      <w:pPr>
        <w:pStyle w:val="BodyText"/>
        <w:spacing w:line="328" w:lineRule="auto" w:before="4"/>
        <w:ind w:right="265" w:firstLine="628"/>
      </w:pPr>
      <w:r>
        <w:rPr>
          <w:spacing w:val="-3"/>
          <w:w w:val="95"/>
        </w:rPr>
        <w:t>（五）在教学、科研及相关活动中，应严格遵守和维护国家 </w:t>
      </w:r>
      <w:r>
        <w:rPr>
          <w:spacing w:val="-5"/>
        </w:rPr>
        <w:t>安全、信息安全、生态安全、健康安全等方面的规定。</w:t>
      </w:r>
    </w:p>
    <w:p>
      <w:pPr>
        <w:pStyle w:val="Heading2"/>
        <w:spacing w:before="185"/>
      </w:pPr>
      <w:r>
        <w:rPr/>
        <w:t>第三章 受理与调查</w:t>
      </w:r>
    </w:p>
    <w:p>
      <w:pPr>
        <w:pStyle w:val="BodyText"/>
        <w:tabs>
          <w:tab w:pos="2089" w:val="left" w:leader="none"/>
        </w:tabs>
        <w:spacing w:line="575" w:lineRule="exact"/>
        <w:ind w:left="817"/>
      </w:pPr>
      <w:r>
        <w:rPr>
          <w:rFonts w:ascii="微软雅黑" w:eastAsia="微软雅黑" w:hint="eastAsia"/>
          <w:b/>
          <w:spacing w:val="-3"/>
        </w:rPr>
        <w:t>第</w:t>
      </w:r>
      <w:r>
        <w:rPr>
          <w:rFonts w:ascii="微软雅黑" w:eastAsia="微软雅黑" w:hint="eastAsia"/>
          <w:b/>
        </w:rPr>
        <w:t>四条</w:t>
        <w:tab/>
      </w:r>
      <w:r>
        <w:rPr>
          <w:spacing w:val="-3"/>
        </w:rPr>
        <w:t>校学术委员会下设</w:t>
      </w:r>
      <w:r>
        <w:rPr>
          <w:spacing w:val="-5"/>
        </w:rPr>
        <w:t>学</w:t>
      </w:r>
      <w:r>
        <w:rPr>
          <w:spacing w:val="-3"/>
        </w:rPr>
        <w:t>术道德委员会</w:t>
      </w:r>
      <w:r>
        <w:rPr>
          <w:spacing w:val="-5"/>
        </w:rPr>
        <w:t>，</w:t>
      </w:r>
      <w:r>
        <w:rPr>
          <w:spacing w:val="-3"/>
        </w:rPr>
        <w:t>负责学术道</w:t>
      </w:r>
      <w:r>
        <w:rPr/>
        <w:t>德</w:t>
      </w:r>
    </w:p>
    <w:p>
      <w:pPr>
        <w:pStyle w:val="BodyText"/>
        <w:spacing w:line="326" w:lineRule="auto" w:before="74"/>
        <w:ind w:right="262"/>
      </w:pPr>
      <w:r>
        <w:rPr>
          <w:spacing w:val="-3"/>
          <w:w w:val="95"/>
        </w:rPr>
        <w:t>和学风建设相关事宜，同时受理有关学术不端行为的举报并进行 </w:t>
      </w:r>
      <w:r>
        <w:rPr>
          <w:spacing w:val="-5"/>
        </w:rPr>
        <w:t>调查，裁决学术纠纷。</w:t>
      </w:r>
    </w:p>
    <w:p>
      <w:pPr>
        <w:pStyle w:val="BodyText"/>
        <w:spacing w:line="491" w:lineRule="exact"/>
        <w:ind w:left="817"/>
      </w:pPr>
      <w:r>
        <w:rPr>
          <w:rFonts w:ascii="微软雅黑" w:eastAsia="微软雅黑" w:hint="eastAsia"/>
          <w:b/>
        </w:rPr>
        <w:t>第五条 </w:t>
      </w:r>
      <w:r>
        <w:rPr/>
        <w:t>对学术不端行为的举报，一般应当以书面方式实名</w:t>
      </w:r>
    </w:p>
    <w:p>
      <w:pPr>
        <w:pStyle w:val="BodyText"/>
        <w:spacing w:before="74"/>
      </w:pPr>
      <w:r>
        <w:rPr/>
        <w:t>提出，并符合下列条件：</w:t>
      </w:r>
    </w:p>
    <w:p>
      <w:pPr>
        <w:pStyle w:val="BodyText"/>
        <w:spacing w:before="149"/>
        <w:ind w:left="817"/>
      </w:pPr>
      <w:r>
        <w:rPr/>
        <w:t>（一）有明确的举报对象；</w:t>
      </w:r>
    </w:p>
    <w:p>
      <w:pPr>
        <w:pStyle w:val="BodyText"/>
        <w:spacing w:before="150"/>
        <w:ind w:left="817"/>
      </w:pPr>
      <w:r>
        <w:rPr/>
        <w:t>（二）有实施学术不端行为的事实；</w:t>
      </w:r>
    </w:p>
    <w:p>
      <w:pPr>
        <w:pStyle w:val="BodyText"/>
        <w:spacing w:before="151"/>
        <w:ind w:left="817"/>
      </w:pPr>
      <w:r>
        <w:rPr/>
        <w:t>（三）有客观的证据材料或者查证线索。</w:t>
      </w:r>
    </w:p>
    <w:p>
      <w:pPr>
        <w:pStyle w:val="BodyText"/>
        <w:spacing w:line="326" w:lineRule="auto" w:before="149"/>
        <w:ind w:right="265" w:firstLine="628"/>
      </w:pPr>
      <w:r>
        <w:rPr>
          <w:spacing w:val="-3"/>
          <w:w w:val="95"/>
        </w:rPr>
        <w:t>以匿名方式举报，但事实清楚、证据充分或者线索明确的， </w:t>
      </w:r>
      <w:r>
        <w:rPr>
          <w:spacing w:val="-5"/>
        </w:rPr>
        <w:t>学术道德委员会认为必要的，也可以受理。</w:t>
      </w:r>
    </w:p>
    <w:p>
      <w:pPr>
        <w:pStyle w:val="BodyText"/>
        <w:tabs>
          <w:tab w:pos="2091" w:val="left" w:leader="none"/>
        </w:tabs>
        <w:spacing w:line="493" w:lineRule="exact"/>
        <w:ind w:left="820"/>
      </w:pPr>
      <w:r>
        <w:rPr>
          <w:rFonts w:ascii="微软雅黑" w:eastAsia="微软雅黑" w:hint="eastAsia"/>
          <w:b/>
        </w:rPr>
        <w:t>第</w:t>
      </w:r>
      <w:r>
        <w:rPr>
          <w:rFonts w:ascii="微软雅黑" w:eastAsia="微软雅黑" w:hint="eastAsia"/>
          <w:b/>
          <w:spacing w:val="-3"/>
        </w:rPr>
        <w:t>六</w:t>
      </w:r>
      <w:r>
        <w:rPr>
          <w:rFonts w:ascii="微软雅黑" w:eastAsia="微软雅黑" w:hint="eastAsia"/>
          <w:b/>
        </w:rPr>
        <w:t>条</w:t>
        <w:tab/>
      </w:r>
      <w:r>
        <w:rPr>
          <w:spacing w:val="-3"/>
        </w:rPr>
        <w:t>对媒体公开报</w:t>
      </w:r>
      <w:r>
        <w:rPr>
          <w:spacing w:val="-5"/>
        </w:rPr>
        <w:t>道</w:t>
      </w:r>
      <w:r>
        <w:rPr>
          <w:spacing w:val="-3"/>
        </w:rPr>
        <w:t>、其他学术机构或者社会组织主</w:t>
      </w:r>
      <w:r>
        <w:rPr/>
        <w:t>动</w:t>
      </w:r>
    </w:p>
    <w:p>
      <w:pPr>
        <w:pStyle w:val="BodyText"/>
        <w:spacing w:line="326" w:lineRule="auto" w:before="72"/>
        <w:ind w:right="262"/>
      </w:pPr>
      <w:r>
        <w:rPr>
          <w:spacing w:val="-3"/>
          <w:w w:val="95"/>
        </w:rPr>
        <w:t>披露的涉及本校人员的学术不端行为，学术道德委员会应当依据 </w:t>
      </w:r>
      <w:r>
        <w:rPr>
          <w:spacing w:val="-5"/>
        </w:rPr>
        <w:t>相关规定，及时、主动处理。</w:t>
      </w:r>
    </w:p>
    <w:p>
      <w:pPr>
        <w:pStyle w:val="BodyText"/>
        <w:tabs>
          <w:tab w:pos="2089" w:val="left" w:leader="none"/>
        </w:tabs>
        <w:spacing w:line="493" w:lineRule="exact"/>
        <w:ind w:left="817"/>
      </w:pPr>
      <w:r>
        <w:rPr>
          <w:rFonts w:ascii="微软雅黑" w:eastAsia="微软雅黑" w:hint="eastAsia"/>
          <w:b/>
          <w:spacing w:val="-3"/>
        </w:rPr>
        <w:t>第</w:t>
      </w:r>
      <w:r>
        <w:rPr>
          <w:rFonts w:ascii="微软雅黑" w:eastAsia="微软雅黑" w:hint="eastAsia"/>
          <w:b/>
        </w:rPr>
        <w:t>七条</w:t>
        <w:tab/>
      </w:r>
      <w:r>
        <w:rPr>
          <w:spacing w:val="-3"/>
          <w:w w:val="95"/>
        </w:rPr>
        <w:t>学术道德委员会认</w:t>
      </w:r>
      <w:r>
        <w:rPr>
          <w:spacing w:val="-5"/>
          <w:w w:val="95"/>
        </w:rPr>
        <w:t>为</w:t>
      </w:r>
      <w:r>
        <w:rPr>
          <w:spacing w:val="-3"/>
          <w:w w:val="95"/>
        </w:rPr>
        <w:t>举报材料符合条件的</w:t>
      </w:r>
      <w:r>
        <w:rPr>
          <w:spacing w:val="-5"/>
          <w:w w:val="95"/>
        </w:rPr>
        <w:t>，</w:t>
      </w:r>
      <w:r>
        <w:rPr>
          <w:spacing w:val="-3"/>
          <w:w w:val="95"/>
        </w:rPr>
        <w:t>应及</w:t>
      </w:r>
      <w:r>
        <w:rPr>
          <w:w w:val="95"/>
        </w:rPr>
        <w:t>时</w:t>
      </w:r>
    </w:p>
    <w:p>
      <w:pPr>
        <w:pStyle w:val="BodyText"/>
        <w:tabs>
          <w:tab w:pos="2151" w:val="left" w:leader="none"/>
        </w:tabs>
        <w:spacing w:line="266" w:lineRule="auto" w:before="72"/>
        <w:ind w:left="817" w:right="130" w:hanging="629"/>
      </w:pPr>
      <w:r>
        <w:rPr>
          <w:spacing w:val="-3"/>
          <w:w w:val="95"/>
        </w:rPr>
        <w:t>作</w:t>
      </w:r>
      <w:r>
        <w:rPr>
          <w:spacing w:val="-5"/>
          <w:w w:val="95"/>
        </w:rPr>
        <w:t>出</w:t>
      </w:r>
      <w:r>
        <w:rPr>
          <w:spacing w:val="-3"/>
          <w:w w:val="95"/>
        </w:rPr>
        <w:t>受</w:t>
      </w:r>
      <w:r>
        <w:rPr>
          <w:spacing w:val="-5"/>
          <w:w w:val="95"/>
        </w:rPr>
        <w:t>理</w:t>
      </w:r>
      <w:r>
        <w:rPr>
          <w:spacing w:val="-3"/>
          <w:w w:val="95"/>
        </w:rPr>
        <w:t>决</w:t>
      </w:r>
      <w:r>
        <w:rPr>
          <w:spacing w:val="-5"/>
          <w:w w:val="95"/>
        </w:rPr>
        <w:t>定</w:t>
      </w:r>
      <w:r>
        <w:rPr>
          <w:spacing w:val="-55"/>
          <w:w w:val="95"/>
        </w:rPr>
        <w:t>，</w:t>
      </w:r>
      <w:r>
        <w:rPr>
          <w:spacing w:val="-3"/>
          <w:w w:val="95"/>
        </w:rPr>
        <w:t>并</w:t>
      </w:r>
      <w:r>
        <w:rPr>
          <w:spacing w:val="-5"/>
          <w:w w:val="95"/>
        </w:rPr>
        <w:t>通</w:t>
      </w:r>
      <w:r>
        <w:rPr>
          <w:spacing w:val="-3"/>
          <w:w w:val="95"/>
        </w:rPr>
        <w:t>知</w:t>
      </w:r>
      <w:r>
        <w:rPr>
          <w:spacing w:val="-5"/>
          <w:w w:val="95"/>
        </w:rPr>
        <w:t>举</w:t>
      </w:r>
      <w:r>
        <w:rPr>
          <w:spacing w:val="-3"/>
          <w:w w:val="95"/>
        </w:rPr>
        <w:t>报</w:t>
      </w:r>
      <w:r>
        <w:rPr>
          <w:spacing w:val="-5"/>
          <w:w w:val="95"/>
        </w:rPr>
        <w:t>人</w:t>
      </w:r>
      <w:r>
        <w:rPr>
          <w:spacing w:val="-55"/>
          <w:w w:val="95"/>
        </w:rPr>
        <w:t>；</w:t>
      </w:r>
      <w:r>
        <w:rPr>
          <w:spacing w:val="-3"/>
          <w:w w:val="95"/>
        </w:rPr>
        <w:t>不</w:t>
      </w:r>
      <w:r>
        <w:rPr>
          <w:spacing w:val="-5"/>
          <w:w w:val="95"/>
        </w:rPr>
        <w:t>予</w:t>
      </w:r>
      <w:r>
        <w:rPr>
          <w:spacing w:val="-3"/>
          <w:w w:val="95"/>
        </w:rPr>
        <w:t>受</w:t>
      </w:r>
      <w:r>
        <w:rPr>
          <w:spacing w:val="-5"/>
          <w:w w:val="95"/>
        </w:rPr>
        <w:t>理</w:t>
      </w:r>
      <w:r>
        <w:rPr>
          <w:spacing w:val="-3"/>
          <w:w w:val="95"/>
        </w:rPr>
        <w:t>的</w:t>
      </w:r>
      <w:r>
        <w:rPr>
          <w:spacing w:val="-55"/>
          <w:w w:val="95"/>
        </w:rPr>
        <w:t>，</w:t>
      </w:r>
      <w:r>
        <w:rPr>
          <w:spacing w:val="-3"/>
          <w:w w:val="95"/>
        </w:rPr>
        <w:t>应</w:t>
      </w:r>
      <w:r>
        <w:rPr>
          <w:spacing w:val="-5"/>
          <w:w w:val="95"/>
        </w:rPr>
        <w:t>当</w:t>
      </w:r>
      <w:r>
        <w:rPr>
          <w:spacing w:val="-3"/>
          <w:w w:val="95"/>
        </w:rPr>
        <w:t>书</w:t>
      </w:r>
      <w:r>
        <w:rPr>
          <w:spacing w:val="-5"/>
          <w:w w:val="95"/>
        </w:rPr>
        <w:t>面</w:t>
      </w:r>
      <w:r>
        <w:rPr>
          <w:spacing w:val="-3"/>
          <w:w w:val="95"/>
        </w:rPr>
        <w:t>说明</w:t>
      </w:r>
      <w:r>
        <w:rPr>
          <w:spacing w:val="-5"/>
          <w:w w:val="95"/>
        </w:rPr>
        <w:t>理</w:t>
      </w:r>
      <w:r>
        <w:rPr>
          <w:spacing w:val="-3"/>
          <w:w w:val="95"/>
        </w:rPr>
        <w:t>由</w:t>
      </w:r>
      <w:r>
        <w:rPr>
          <w:w w:val="95"/>
        </w:rPr>
        <w:t>。 </w:t>
      </w:r>
      <w:r>
        <w:rPr>
          <w:rFonts w:ascii="微软雅黑" w:eastAsia="微软雅黑" w:hint="eastAsia"/>
          <w:b/>
          <w:spacing w:val="12"/>
        </w:rPr>
        <w:t>第</w:t>
      </w:r>
      <w:r>
        <w:rPr>
          <w:rFonts w:ascii="微软雅黑" w:eastAsia="微软雅黑" w:hint="eastAsia"/>
          <w:b/>
          <w:spacing w:val="9"/>
        </w:rPr>
        <w:t>八</w:t>
      </w:r>
      <w:r>
        <w:rPr>
          <w:rFonts w:ascii="微软雅黑" w:eastAsia="微软雅黑" w:hint="eastAsia"/>
          <w:b/>
        </w:rPr>
        <w:t>条</w:t>
        <w:tab/>
      </w:r>
      <w:r>
        <w:rPr>
          <w:spacing w:val="9"/>
        </w:rPr>
        <w:t>学术</w:t>
      </w:r>
      <w:r>
        <w:rPr>
          <w:spacing w:val="12"/>
        </w:rPr>
        <w:t>不</w:t>
      </w:r>
      <w:r>
        <w:rPr>
          <w:spacing w:val="9"/>
        </w:rPr>
        <w:t>端行为受</w:t>
      </w:r>
      <w:r>
        <w:rPr>
          <w:spacing w:val="12"/>
        </w:rPr>
        <w:t>理</w:t>
      </w:r>
      <w:r>
        <w:rPr>
          <w:spacing w:val="9"/>
        </w:rPr>
        <w:t>后，由学术</w:t>
      </w:r>
      <w:r>
        <w:rPr>
          <w:spacing w:val="12"/>
        </w:rPr>
        <w:t>道</w:t>
      </w:r>
      <w:r>
        <w:rPr>
          <w:spacing w:val="9"/>
        </w:rPr>
        <w:t>德委员会</w:t>
      </w:r>
      <w:r>
        <w:rPr>
          <w:spacing w:val="12"/>
        </w:rPr>
        <w:t>开</w:t>
      </w:r>
      <w:r>
        <w:rPr>
          <w:spacing w:val="9"/>
        </w:rPr>
        <w:t>展</w:t>
      </w:r>
      <w:r>
        <w:rPr/>
        <w:t>调</w:t>
      </w:r>
    </w:p>
    <w:p>
      <w:pPr>
        <w:pStyle w:val="BodyText"/>
        <w:spacing w:before="11"/>
      </w:pPr>
      <w:r>
        <w:rPr/>
        <w:t>查。</w:t>
      </w:r>
    </w:p>
    <w:p>
      <w:pPr>
        <w:spacing w:after="0"/>
        <w:sectPr>
          <w:footerReference w:type="default" r:id="rId8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line="326" w:lineRule="auto" w:before="54"/>
        <w:ind w:right="130" w:firstLine="628"/>
      </w:pPr>
      <w:r>
        <w:rPr/>
        <w:t>学术道德委员会可组建临时调查小组就举报内容的合理性、</w:t>
      </w:r>
      <w:r>
        <w:rPr>
          <w:w w:val="95"/>
        </w:rPr>
        <w:t>调查的可能性等进行初步审查，并作出是否进入正式调查的决定。</w:t>
      </w:r>
    </w:p>
    <w:p>
      <w:pPr>
        <w:pStyle w:val="BodyText"/>
        <w:spacing w:before="4"/>
        <w:ind w:left="817"/>
      </w:pPr>
      <w:r>
        <w:rPr/>
        <w:t>（一）初步审查程序</w:t>
      </w:r>
    </w:p>
    <w:p>
      <w:pPr>
        <w:pStyle w:val="ListParagraph"/>
        <w:numPr>
          <w:ilvl w:val="0"/>
          <w:numId w:val="1"/>
        </w:numPr>
        <w:tabs>
          <w:tab w:pos="1137" w:val="left" w:leader="none"/>
        </w:tabs>
        <w:spacing w:line="326" w:lineRule="auto" w:before="151" w:after="0"/>
        <w:ind w:left="188" w:right="265" w:firstLine="628"/>
        <w:jc w:val="left"/>
        <w:rPr>
          <w:sz w:val="32"/>
        </w:rPr>
      </w:pPr>
      <w:r>
        <w:rPr>
          <w:spacing w:val="-3"/>
          <w:w w:val="95"/>
          <w:sz w:val="32"/>
        </w:rPr>
        <w:t>分别约谈举报人和被举报人，并形成当事人签字的调查记 </w:t>
      </w:r>
      <w:r>
        <w:rPr>
          <w:spacing w:val="-2"/>
          <w:sz w:val="32"/>
        </w:rPr>
        <w:t>录；</w:t>
      </w:r>
    </w:p>
    <w:p>
      <w:pPr>
        <w:pStyle w:val="ListParagraph"/>
        <w:numPr>
          <w:ilvl w:val="0"/>
          <w:numId w:val="1"/>
        </w:numPr>
        <w:tabs>
          <w:tab w:pos="1137" w:val="left" w:leader="none"/>
        </w:tabs>
        <w:spacing w:line="240" w:lineRule="auto" w:before="3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被举报人提交对应性的申辩材料；</w:t>
      </w:r>
    </w:p>
    <w:p>
      <w:pPr>
        <w:pStyle w:val="ListParagraph"/>
        <w:numPr>
          <w:ilvl w:val="0"/>
          <w:numId w:val="1"/>
        </w:numPr>
        <w:tabs>
          <w:tab w:pos="1137" w:val="left" w:leader="none"/>
        </w:tabs>
        <w:spacing w:line="240" w:lineRule="auto" w:before="152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必要时调查第三方提供的签字确认的旁证材料。</w:t>
      </w:r>
    </w:p>
    <w:p>
      <w:pPr>
        <w:pStyle w:val="BodyText"/>
        <w:spacing w:line="326" w:lineRule="auto" w:before="149"/>
        <w:ind w:right="265" w:firstLine="628"/>
      </w:pPr>
      <w:r>
        <w:rPr>
          <w:spacing w:val="-3"/>
          <w:w w:val="95"/>
        </w:rPr>
        <w:t>（二）初步审查后，临时调查小组应将证据、初查结论等形 </w:t>
      </w:r>
      <w:r>
        <w:rPr>
          <w:spacing w:val="-5"/>
        </w:rPr>
        <w:t>成书面调查报告提交学术道德委员会审核。</w:t>
      </w:r>
    </w:p>
    <w:p>
      <w:pPr>
        <w:pStyle w:val="BodyText"/>
        <w:spacing w:line="326" w:lineRule="auto" w:before="6"/>
        <w:ind w:right="262" w:firstLine="628"/>
        <w:jc w:val="both"/>
      </w:pPr>
      <w:r>
        <w:rPr>
          <w:spacing w:val="-3"/>
          <w:w w:val="95"/>
        </w:rPr>
        <w:t>（三）若经初步审查认定举报无实质内容或证据不足，可不 进入正式调查，但应当告知举报人。举报人如有新的证据，可以 </w:t>
      </w:r>
      <w:r>
        <w:rPr>
          <w:spacing w:val="-5"/>
        </w:rPr>
        <w:t>提出异议。异议成立的，应当进入正式调查。</w:t>
      </w:r>
    </w:p>
    <w:p>
      <w:pPr>
        <w:pStyle w:val="BodyText"/>
        <w:spacing w:line="266" w:lineRule="auto" w:before="7"/>
        <w:ind w:left="817" w:right="267"/>
        <w:jc w:val="both"/>
      </w:pPr>
      <w:r>
        <w:rPr>
          <w:spacing w:val="-5"/>
        </w:rPr>
        <w:t>若初步审查认为确实存在学术不端行为，进入正式调查。 </w:t>
      </w:r>
      <w:r>
        <w:rPr>
          <w:rFonts w:ascii="微软雅黑" w:eastAsia="微软雅黑" w:hint="eastAsia"/>
          <w:b/>
          <w:spacing w:val="19"/>
        </w:rPr>
        <w:t>第九条 </w:t>
      </w:r>
      <w:r>
        <w:rPr>
          <w:spacing w:val="-1"/>
        </w:rPr>
        <w:t>学术道德委员会决定进入正式调查的，应当通知被</w:t>
      </w:r>
    </w:p>
    <w:p>
      <w:pPr>
        <w:pStyle w:val="BodyText"/>
        <w:spacing w:line="328" w:lineRule="auto" w:before="9"/>
        <w:ind w:right="262"/>
      </w:pPr>
      <w:r>
        <w:rPr>
          <w:spacing w:val="-3"/>
          <w:w w:val="95"/>
        </w:rPr>
        <w:t>举报人。被调查行为涉及资助项目的，应在调查取得确定意见后 </w:t>
      </w:r>
      <w:r>
        <w:rPr>
          <w:spacing w:val="-5"/>
        </w:rPr>
        <w:t>通知项目资助方。</w:t>
      </w:r>
    </w:p>
    <w:p>
      <w:pPr>
        <w:pStyle w:val="BodyText"/>
        <w:spacing w:line="485" w:lineRule="exact"/>
        <w:ind w:left="817"/>
      </w:pPr>
      <w:r>
        <w:rPr>
          <w:rFonts w:ascii="微软雅黑" w:eastAsia="微软雅黑" w:hint="eastAsia"/>
          <w:b/>
        </w:rPr>
        <w:t>第十条 </w:t>
      </w:r>
      <w:r>
        <w:rPr/>
        <w:t>学术道德委员会应当组成调查组，负责对被举报行</w:t>
      </w:r>
    </w:p>
    <w:p>
      <w:pPr>
        <w:pStyle w:val="BodyText"/>
        <w:spacing w:line="328" w:lineRule="auto" w:before="71"/>
        <w:ind w:right="106"/>
      </w:pPr>
      <w:r>
        <w:rPr>
          <w:spacing w:val="-18"/>
          <w:w w:val="95"/>
        </w:rPr>
        <w:t>为进行调查；对于事实清楚、证据确凿、情节简单的被举报行为， </w:t>
      </w:r>
      <w:r>
        <w:rPr>
          <w:spacing w:val="-5"/>
        </w:rPr>
        <w:t>也可以采用简易调查程序，具体办法由学术道德委员会确定。</w:t>
      </w:r>
    </w:p>
    <w:p>
      <w:pPr>
        <w:pStyle w:val="BodyText"/>
        <w:spacing w:line="328" w:lineRule="auto"/>
        <w:ind w:right="262" w:firstLine="628"/>
        <w:jc w:val="both"/>
      </w:pPr>
      <w:r>
        <w:rPr>
          <w:spacing w:val="-13"/>
        </w:rPr>
        <w:t>调查组应当由不少于 </w:t>
      </w:r>
      <w:r>
        <w:rPr/>
        <w:t>5</w:t>
      </w:r>
      <w:r>
        <w:rPr>
          <w:spacing w:val="-13"/>
        </w:rPr>
        <w:t> 人的单数组成，必要时应当包含纪委</w:t>
      </w:r>
      <w:r>
        <w:rPr>
          <w:spacing w:val="-3"/>
          <w:w w:val="95"/>
        </w:rPr>
        <w:t>指派的工作人员，可以邀请同行专家参与调查或者以咨询等方式 </w:t>
      </w:r>
      <w:r>
        <w:rPr>
          <w:spacing w:val="-5"/>
        </w:rPr>
        <w:t>提供学术判断。</w:t>
      </w:r>
    </w:p>
    <w:p>
      <w:pPr>
        <w:spacing w:after="0" w:line="328" w:lineRule="auto"/>
        <w:jc w:val="both"/>
        <w:sectPr>
          <w:footerReference w:type="default" r:id="rId9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line="326" w:lineRule="auto" w:before="54"/>
        <w:ind w:right="265" w:firstLine="628"/>
      </w:pPr>
      <w:r>
        <w:rPr>
          <w:spacing w:val="-3"/>
          <w:w w:val="95"/>
        </w:rPr>
        <w:t>被调查行为涉及资助项目的，可以邀请项目资助方委派相关 </w:t>
      </w:r>
      <w:r>
        <w:rPr>
          <w:spacing w:val="-5"/>
        </w:rPr>
        <w:t>专业人员参与调查组。</w:t>
      </w:r>
    </w:p>
    <w:p>
      <w:pPr>
        <w:pStyle w:val="BodyText"/>
        <w:spacing w:line="491" w:lineRule="exact"/>
        <w:ind w:left="817"/>
      </w:pPr>
      <w:r>
        <w:rPr>
          <w:rFonts w:ascii="微软雅黑" w:eastAsia="微软雅黑" w:hint="eastAsia"/>
          <w:b/>
        </w:rPr>
        <w:t>第十一条 </w:t>
      </w:r>
      <w:r>
        <w:rPr/>
        <w:t>调查组的组成人员与举报人或者被举报人有合作</w:t>
      </w:r>
    </w:p>
    <w:p>
      <w:pPr>
        <w:pStyle w:val="BodyText"/>
        <w:spacing w:before="74"/>
      </w:pPr>
      <w:r>
        <w:rPr/>
        <w:t>研究、亲属或者导师学生等直接利害关系的，应当回避。</w:t>
      </w:r>
    </w:p>
    <w:p>
      <w:pPr>
        <w:pStyle w:val="BodyText"/>
        <w:spacing w:line="268" w:lineRule="auto" w:before="47"/>
        <w:ind w:right="262" w:firstLine="628"/>
      </w:pPr>
      <w:r>
        <w:rPr>
          <w:rFonts w:ascii="微软雅黑" w:eastAsia="微软雅黑" w:hint="eastAsia"/>
          <w:b/>
        </w:rPr>
        <w:t>第十二条 </w:t>
      </w:r>
      <w:r>
        <w:rPr/>
        <w:t>调查可通过查询资料、现场查看、实验检验、询</w:t>
      </w:r>
      <w:r>
        <w:rPr>
          <w:w w:val="95"/>
        </w:rPr>
        <w:t>问证人、询问举报人和被举报人等方式进行。调查组认为有必要</w:t>
      </w:r>
    </w:p>
    <w:p>
      <w:pPr>
        <w:pStyle w:val="BodyText"/>
        <w:spacing w:line="326" w:lineRule="auto" w:before="104"/>
        <w:ind w:right="262"/>
      </w:pPr>
      <w:r>
        <w:rPr>
          <w:spacing w:val="-3"/>
          <w:w w:val="95"/>
        </w:rPr>
        <w:t>的，可以委托无利害关系的专家或者第三方专业机构就有关事项 </w:t>
      </w:r>
      <w:r>
        <w:rPr>
          <w:spacing w:val="-5"/>
        </w:rPr>
        <w:t>进行独立调查或者验证。</w:t>
      </w:r>
    </w:p>
    <w:p>
      <w:pPr>
        <w:pStyle w:val="BodyText"/>
        <w:spacing w:line="491" w:lineRule="exact"/>
        <w:ind w:left="817"/>
      </w:pPr>
      <w:r>
        <w:rPr>
          <w:rFonts w:ascii="微软雅黑" w:eastAsia="微软雅黑" w:hint="eastAsia"/>
          <w:b/>
        </w:rPr>
        <w:t>第十三条 </w:t>
      </w:r>
      <w:r>
        <w:rPr/>
        <w:t>调查组在调查过程中，应当认真听取当事人的陈</w:t>
      </w:r>
    </w:p>
    <w:p>
      <w:pPr>
        <w:pStyle w:val="BodyText"/>
        <w:spacing w:line="326" w:lineRule="auto" w:before="74"/>
        <w:ind w:right="262"/>
      </w:pPr>
      <w:r>
        <w:rPr>
          <w:spacing w:val="-3"/>
          <w:w w:val="95"/>
        </w:rPr>
        <w:t>述、申辩，对有关事实、理由和论据进行核实；认为必要的，可 </w:t>
      </w:r>
      <w:r>
        <w:rPr>
          <w:spacing w:val="-5"/>
        </w:rPr>
        <w:t>以采取听证方式。</w:t>
      </w:r>
    </w:p>
    <w:p>
      <w:pPr>
        <w:pStyle w:val="BodyText"/>
        <w:spacing w:line="491" w:lineRule="exact"/>
        <w:ind w:left="817"/>
      </w:pPr>
      <w:r>
        <w:rPr>
          <w:rFonts w:ascii="微软雅黑" w:eastAsia="微软雅黑" w:hint="eastAsia"/>
          <w:b/>
        </w:rPr>
        <w:t>第十四条 </w:t>
      </w:r>
      <w:r>
        <w:rPr/>
        <w:t>相关单位和个人应当为调查组开展工作提供必要</w:t>
      </w:r>
    </w:p>
    <w:p>
      <w:pPr>
        <w:pStyle w:val="BodyText"/>
        <w:spacing w:before="74"/>
      </w:pPr>
      <w:r>
        <w:rPr/>
        <w:t>的便利和协助。</w:t>
      </w:r>
    </w:p>
    <w:p>
      <w:pPr>
        <w:pStyle w:val="BodyText"/>
        <w:spacing w:line="326" w:lineRule="auto" w:before="149"/>
        <w:ind w:right="110" w:firstLine="628"/>
      </w:pPr>
      <w:r>
        <w:rPr>
          <w:spacing w:val="-17"/>
          <w:w w:val="95"/>
        </w:rPr>
        <w:t>举报人、被举报人、证人及其他有关人员应当如实回答询问， </w:t>
      </w:r>
      <w:r>
        <w:rPr>
          <w:spacing w:val="-5"/>
        </w:rPr>
        <w:t>配合调查，出示相关证据材料，不得隐瞒或者提供虚假信息。</w:t>
      </w:r>
    </w:p>
    <w:p>
      <w:pPr>
        <w:pStyle w:val="BodyText"/>
        <w:spacing w:line="493" w:lineRule="exact"/>
        <w:ind w:left="817"/>
      </w:pPr>
      <w:r>
        <w:rPr>
          <w:rFonts w:ascii="微软雅黑" w:eastAsia="微软雅黑" w:hint="eastAsia"/>
          <w:b/>
        </w:rPr>
        <w:t>第十五条 </w:t>
      </w:r>
      <w:r>
        <w:rPr/>
        <w:t>调查过程中，出现知识产权等争议引发法律纠纷</w:t>
      </w:r>
    </w:p>
    <w:p>
      <w:pPr>
        <w:pStyle w:val="BodyText"/>
        <w:spacing w:line="326" w:lineRule="auto" w:before="72"/>
        <w:ind w:right="262"/>
      </w:pPr>
      <w:r>
        <w:rPr>
          <w:spacing w:val="-3"/>
          <w:w w:val="95"/>
        </w:rPr>
        <w:t>的，且该争议可能影响行为定性的，应当中止调查，待争议解决 </w:t>
      </w:r>
      <w:r>
        <w:rPr>
          <w:spacing w:val="-5"/>
        </w:rPr>
        <w:t>后重启调查。</w:t>
      </w:r>
    </w:p>
    <w:p>
      <w:pPr>
        <w:pStyle w:val="BodyText"/>
        <w:spacing w:line="493" w:lineRule="exact"/>
        <w:ind w:left="817"/>
      </w:pPr>
      <w:r>
        <w:rPr>
          <w:rFonts w:ascii="微软雅黑" w:eastAsia="微软雅黑" w:hint="eastAsia"/>
          <w:b/>
        </w:rPr>
        <w:t>第十六条 </w:t>
      </w:r>
      <w:r>
        <w:rPr/>
        <w:t>调查组应当在查清事实的基础上形成调查报告。</w:t>
      </w:r>
    </w:p>
    <w:p>
      <w:pPr>
        <w:pStyle w:val="BodyText"/>
        <w:spacing w:line="326" w:lineRule="auto" w:before="71"/>
        <w:ind w:right="262"/>
      </w:pPr>
      <w:r>
        <w:rPr>
          <w:spacing w:val="-3"/>
          <w:w w:val="95"/>
        </w:rPr>
        <w:t>调查报告应当包括学术不端行为责任人的确认、调查过程、事实 </w:t>
      </w:r>
      <w:r>
        <w:rPr>
          <w:spacing w:val="-5"/>
        </w:rPr>
        <w:t>认定及理由、调查结论等。</w:t>
      </w:r>
    </w:p>
    <w:p>
      <w:pPr>
        <w:pStyle w:val="BodyText"/>
        <w:spacing w:before="6"/>
        <w:ind w:left="817"/>
      </w:pPr>
      <w:r>
        <w:rPr/>
        <w:t>学术不端行为由多人集体做出的，调查报告中应当区别各责</w:t>
      </w:r>
    </w:p>
    <w:p>
      <w:pPr>
        <w:spacing w:after="0"/>
        <w:sectPr>
          <w:footerReference w:type="default" r:id="rId10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before="54"/>
      </w:pPr>
      <w:r>
        <w:rPr/>
        <w:t>任人在行为中所发挥的作用。</w:t>
      </w:r>
    </w:p>
    <w:p>
      <w:pPr>
        <w:pStyle w:val="BodyText"/>
        <w:spacing w:line="268" w:lineRule="auto" w:before="47"/>
        <w:ind w:right="269" w:firstLine="628"/>
      </w:pPr>
      <w:r>
        <w:rPr>
          <w:rFonts w:ascii="微软雅黑" w:eastAsia="微软雅黑" w:hint="eastAsia"/>
          <w:b/>
        </w:rPr>
        <w:t>第十七条 </w:t>
      </w:r>
      <w:r>
        <w:rPr/>
        <w:t>接触举报材料和参与调查处理的人员，不得向无关人员透露举报人、被举报人的个人信息及调查情况。</w:t>
      </w:r>
    </w:p>
    <w:p>
      <w:pPr>
        <w:pStyle w:val="BodyText"/>
        <w:spacing w:before="10"/>
        <w:ind w:left="0"/>
        <w:rPr>
          <w:sz w:val="22"/>
        </w:rPr>
      </w:pPr>
    </w:p>
    <w:p>
      <w:pPr>
        <w:pStyle w:val="Heading2"/>
      </w:pPr>
      <w:r>
        <w:rPr/>
        <w:t>第四章 认定与处理</w:t>
      </w:r>
    </w:p>
    <w:p>
      <w:pPr>
        <w:pStyle w:val="BodyText"/>
        <w:spacing w:line="575" w:lineRule="exact"/>
        <w:ind w:left="817"/>
      </w:pPr>
      <w:r>
        <w:rPr>
          <w:rFonts w:ascii="微软雅黑" w:eastAsia="微软雅黑" w:hint="eastAsia"/>
          <w:b/>
        </w:rPr>
        <w:t>第十八条 </w:t>
      </w:r>
      <w:r>
        <w:rPr/>
        <w:t>学术道德委员会应当对调查组提交的调查报告进</w:t>
      </w:r>
    </w:p>
    <w:p>
      <w:pPr>
        <w:pStyle w:val="BodyText"/>
        <w:spacing w:before="71"/>
      </w:pPr>
      <w:r>
        <w:rPr/>
        <w:t>行审查；必要时应当听取调查组的汇报。</w:t>
      </w:r>
    </w:p>
    <w:p>
      <w:pPr>
        <w:pStyle w:val="BodyText"/>
        <w:spacing w:line="328" w:lineRule="auto" w:before="152"/>
        <w:ind w:right="262" w:firstLine="628"/>
        <w:jc w:val="both"/>
      </w:pPr>
      <w:r>
        <w:rPr>
          <w:spacing w:val="-3"/>
          <w:w w:val="95"/>
        </w:rPr>
        <w:t>学术道德委员会对被调查行为是否构成学术不端行为以及行 为的性质、情节等作出认定结论，并依职权作出处理或建议学校 作出相应处理。被调查行为涉及资助项目的，应当同时通知项目 </w:t>
      </w:r>
      <w:r>
        <w:rPr>
          <w:spacing w:val="-3"/>
        </w:rPr>
        <w:t>资助方。</w:t>
      </w:r>
    </w:p>
    <w:p>
      <w:pPr>
        <w:pStyle w:val="BodyText"/>
        <w:spacing w:line="326" w:lineRule="auto"/>
        <w:ind w:right="265" w:firstLine="628"/>
      </w:pPr>
      <w:r>
        <w:rPr>
          <w:spacing w:val="-3"/>
          <w:w w:val="95"/>
        </w:rPr>
        <w:t>在学校做出处分或组织处理决定前，除公开听证会外，一切 </w:t>
      </w:r>
      <w:r>
        <w:rPr>
          <w:spacing w:val="-5"/>
          <w:w w:val="95"/>
        </w:rPr>
        <w:t>程序和资料均需保密，所有涉及人员不得泄露调查和处理情况。</w:t>
      </w:r>
    </w:p>
    <w:p>
      <w:pPr>
        <w:pStyle w:val="BodyText"/>
        <w:spacing w:line="493" w:lineRule="exact"/>
        <w:ind w:left="817"/>
      </w:pPr>
      <w:r>
        <w:rPr>
          <w:rFonts w:ascii="微软雅黑" w:eastAsia="微软雅黑" w:hint="eastAsia"/>
          <w:b/>
          <w:spacing w:val="16"/>
        </w:rPr>
        <w:t>第十九条 </w:t>
      </w:r>
      <w:r>
        <w:rPr/>
        <w:t>经调查，确认被举报人在科学研究及相关活动中</w:t>
      </w:r>
    </w:p>
    <w:p>
      <w:pPr>
        <w:pStyle w:val="BodyText"/>
        <w:spacing w:before="64"/>
      </w:pPr>
      <w:r>
        <w:rPr/>
        <w:t>有下列行为之一的，应当认定为构成学术不端行为：</w:t>
      </w:r>
    </w:p>
    <w:p>
      <w:pPr>
        <w:pStyle w:val="BodyText"/>
        <w:spacing w:line="328" w:lineRule="auto" w:before="149"/>
        <w:ind w:right="262" w:firstLine="628"/>
        <w:jc w:val="both"/>
      </w:pPr>
      <w:r>
        <w:rPr>
          <w:spacing w:val="-3"/>
          <w:w w:val="95"/>
        </w:rPr>
        <w:t>（一）抄袭与剽窃：在学术活动过程中抄袭他人作品，将他 人的学术观点、学术思想或实验数据、调查结果据为己有且不标 </w:t>
      </w:r>
      <w:r>
        <w:rPr>
          <w:spacing w:val="-5"/>
        </w:rPr>
        <w:t>明出处等行为；</w:t>
      </w:r>
    </w:p>
    <w:p>
      <w:pPr>
        <w:pStyle w:val="BodyText"/>
        <w:spacing w:line="328" w:lineRule="auto"/>
        <w:ind w:right="265" w:firstLine="628"/>
      </w:pPr>
      <w:r>
        <w:rPr>
          <w:spacing w:val="-3"/>
          <w:w w:val="95"/>
        </w:rPr>
        <w:t>（二）伪造与篡改：伪造科研数据、资料、文献、注释，或 </w:t>
      </w:r>
      <w:r>
        <w:rPr>
          <w:spacing w:val="-5"/>
        </w:rPr>
        <w:t>者捏造事实、编造虚假研究成果，篡改他人研究成果；</w:t>
      </w:r>
    </w:p>
    <w:p>
      <w:pPr>
        <w:pStyle w:val="BodyText"/>
        <w:spacing w:line="328" w:lineRule="auto"/>
        <w:ind w:right="262" w:firstLine="628"/>
        <w:jc w:val="both"/>
      </w:pPr>
      <w:r>
        <w:rPr>
          <w:spacing w:val="-3"/>
          <w:w w:val="95"/>
        </w:rPr>
        <w:t>（三）伪造学术经历：在提交有关个人学术情况报告时，不 如实报告学术经历、学术成果，伪造专家鉴定、证书及其他学术 能力证明材料等行为，在申报课题、成果、奖励和职务评审评定</w:t>
      </w:r>
    </w:p>
    <w:p>
      <w:pPr>
        <w:spacing w:after="0" w:line="328" w:lineRule="auto"/>
        <w:jc w:val="both"/>
        <w:sectPr>
          <w:footerReference w:type="default" r:id="rId11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before="54"/>
      </w:pPr>
      <w:r>
        <w:rPr/>
        <w:t>等过程中提供虚假学术信息；</w:t>
      </w:r>
    </w:p>
    <w:p>
      <w:pPr>
        <w:pStyle w:val="BodyText"/>
        <w:spacing w:line="328" w:lineRule="auto" w:before="150"/>
        <w:ind w:right="262" w:firstLine="628"/>
        <w:jc w:val="both"/>
      </w:pPr>
      <w:r>
        <w:rPr>
          <w:spacing w:val="-3"/>
          <w:w w:val="95"/>
        </w:rPr>
        <w:t>（四）不当署名：未参加研究或创作而在研究成果、学术论 文上署名，未经他人许可而不当使用他人署名，或者多人共同完 </w:t>
      </w:r>
      <w:r>
        <w:rPr>
          <w:spacing w:val="-5"/>
        </w:rPr>
        <w:t>成研究而在成果中未注明他人学术贡献；</w:t>
      </w:r>
    </w:p>
    <w:p>
      <w:pPr>
        <w:pStyle w:val="BodyText"/>
        <w:spacing w:line="326" w:lineRule="auto"/>
        <w:ind w:right="265" w:firstLine="628"/>
      </w:pPr>
      <w:r>
        <w:rPr>
          <w:spacing w:val="-3"/>
          <w:w w:val="95"/>
        </w:rPr>
        <w:t>（五）滥用学术信誉：在学术活动过程中夸大成果价值；对 </w:t>
      </w:r>
      <w:r>
        <w:rPr>
          <w:spacing w:val="-5"/>
        </w:rPr>
        <w:t>应经而未经学术同行评议的研究成果向媒体公布等行为；</w:t>
      </w:r>
    </w:p>
    <w:p>
      <w:pPr>
        <w:pStyle w:val="BodyText"/>
        <w:spacing w:line="326" w:lineRule="auto"/>
        <w:ind w:right="110" w:firstLine="628"/>
      </w:pPr>
      <w:r>
        <w:rPr>
          <w:spacing w:val="-3"/>
          <w:w w:val="95"/>
        </w:rPr>
        <w:t>（六</w:t>
      </w:r>
      <w:r>
        <w:rPr>
          <w:spacing w:val="-82"/>
          <w:w w:val="95"/>
        </w:rPr>
        <w:t>）</w:t>
      </w:r>
      <w:r>
        <w:rPr>
          <w:spacing w:val="-12"/>
          <w:w w:val="95"/>
        </w:rPr>
        <w:t>买卖论文、代写论文等其他严重违反公认的学术准则、 </w:t>
      </w:r>
      <w:r>
        <w:rPr>
          <w:spacing w:val="-3"/>
        </w:rPr>
        <w:t>违背学术诚信的行为，根据相关学术组织或学校制定的规则，属</w:t>
      </w:r>
      <w:r>
        <w:rPr>
          <w:spacing w:val="-5"/>
        </w:rPr>
        <w:t>于学术不端行为的。</w:t>
      </w:r>
    </w:p>
    <w:p>
      <w:pPr>
        <w:pStyle w:val="BodyText"/>
        <w:spacing w:line="495" w:lineRule="exact"/>
        <w:ind w:left="817"/>
      </w:pPr>
      <w:r>
        <w:rPr>
          <w:rFonts w:ascii="微软雅黑" w:eastAsia="微软雅黑" w:hint="eastAsia"/>
          <w:b/>
        </w:rPr>
        <w:t>第二十条 </w:t>
      </w:r>
      <w:r>
        <w:rPr/>
        <w:t>有学术不端行为且有下列情形之一的，应当认定</w:t>
      </w:r>
    </w:p>
    <w:p>
      <w:pPr>
        <w:pStyle w:val="BodyText"/>
        <w:spacing w:before="72"/>
      </w:pPr>
      <w:r>
        <w:rPr/>
        <w:t>为情节严重：</w:t>
      </w:r>
    </w:p>
    <w:p>
      <w:pPr>
        <w:pStyle w:val="BodyText"/>
        <w:spacing w:before="149"/>
        <w:ind w:left="817"/>
      </w:pPr>
      <w:r>
        <w:rPr/>
        <w:t>（一）造成恶劣影响的；</w:t>
      </w:r>
    </w:p>
    <w:p>
      <w:pPr>
        <w:pStyle w:val="BodyText"/>
        <w:spacing w:before="152"/>
        <w:ind w:left="817"/>
      </w:pPr>
      <w:r>
        <w:rPr/>
        <w:t>（二）存在利益输送或者利益交换的；</w:t>
      </w:r>
    </w:p>
    <w:p>
      <w:pPr>
        <w:pStyle w:val="BodyText"/>
        <w:spacing w:before="149"/>
        <w:ind w:left="817"/>
      </w:pPr>
      <w:r>
        <w:rPr/>
        <w:t>（三）对举报人进行打击报复的；</w:t>
      </w:r>
    </w:p>
    <w:p>
      <w:pPr>
        <w:pStyle w:val="BodyText"/>
        <w:spacing w:before="149"/>
        <w:ind w:left="817"/>
      </w:pPr>
      <w:r>
        <w:rPr/>
        <w:t>（四）有组织实施学术不端行为的；</w:t>
      </w:r>
    </w:p>
    <w:p>
      <w:pPr>
        <w:pStyle w:val="BodyText"/>
        <w:spacing w:before="152"/>
        <w:ind w:left="817"/>
      </w:pPr>
      <w:r>
        <w:rPr/>
        <w:t>（五）多次实施学术不端行为的；</w:t>
      </w:r>
    </w:p>
    <w:p>
      <w:pPr>
        <w:pStyle w:val="BodyText"/>
        <w:spacing w:before="149"/>
        <w:ind w:left="817"/>
      </w:pPr>
      <w:r>
        <w:rPr/>
        <w:t>（六）其他造成严重后果或者恶劣影响的。</w:t>
      </w:r>
    </w:p>
    <w:p>
      <w:pPr>
        <w:spacing w:before="47"/>
        <w:ind w:left="817" w:right="0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第二十一条 </w:t>
      </w:r>
      <w:r>
        <w:rPr>
          <w:sz w:val="32"/>
        </w:rPr>
        <w:t>学术不端行为的处理，应遵循以下原则：</w:t>
      </w:r>
    </w:p>
    <w:p>
      <w:pPr>
        <w:pStyle w:val="BodyText"/>
        <w:spacing w:before="74"/>
        <w:ind w:left="817"/>
      </w:pPr>
      <w:r>
        <w:rPr/>
        <w:t>（一）事实清楚、证据充分；</w:t>
      </w:r>
    </w:p>
    <w:p>
      <w:pPr>
        <w:pStyle w:val="BodyText"/>
        <w:spacing w:line="326" w:lineRule="auto" w:before="149"/>
        <w:ind w:right="265" w:firstLine="628"/>
      </w:pPr>
      <w:r>
        <w:rPr>
          <w:spacing w:val="-3"/>
          <w:w w:val="95"/>
        </w:rPr>
        <w:t>（二）保护举报人、投诉人和被举报人、被投诉人的合法权 </w:t>
      </w:r>
      <w:r>
        <w:rPr>
          <w:spacing w:val="-2"/>
        </w:rPr>
        <w:t>益；</w:t>
      </w:r>
    </w:p>
    <w:p>
      <w:pPr>
        <w:pStyle w:val="BodyText"/>
        <w:spacing w:before="6"/>
        <w:ind w:left="817"/>
      </w:pPr>
      <w:r>
        <w:rPr/>
        <w:t>（三）教育与惩罚相结合。</w:t>
      </w:r>
    </w:p>
    <w:p>
      <w:pPr>
        <w:spacing w:after="0"/>
        <w:sectPr>
          <w:footerReference w:type="default" r:id="rId12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spacing w:line="542" w:lineRule="exact" w:before="0"/>
        <w:ind w:left="817" w:right="0" w:firstLine="0"/>
        <w:jc w:val="both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第二十二条 </w:t>
      </w:r>
      <w:r>
        <w:rPr>
          <w:sz w:val="32"/>
        </w:rPr>
        <w:t>对于经学术道德委员会认定的学术不端行为，</w:t>
      </w:r>
    </w:p>
    <w:p>
      <w:pPr>
        <w:pStyle w:val="BodyText"/>
        <w:spacing w:line="328" w:lineRule="auto" w:before="71"/>
        <w:ind w:right="262"/>
        <w:jc w:val="both"/>
      </w:pPr>
      <w:r>
        <w:rPr>
          <w:spacing w:val="-3"/>
          <w:w w:val="95"/>
        </w:rPr>
        <w:t>由人事、科研、纪委、学工、研工等相关职能部门根据教育部相 关政策规定和人事管理、学生管理权限形成初步处理意见，并提 </w:t>
      </w:r>
      <w:r>
        <w:rPr>
          <w:spacing w:val="-5"/>
        </w:rPr>
        <w:t>交学校校务会议讨论，形成处理决定。</w:t>
      </w:r>
    </w:p>
    <w:p>
      <w:pPr>
        <w:pStyle w:val="BodyText"/>
        <w:spacing w:line="328" w:lineRule="auto"/>
        <w:ind w:right="106" w:firstLine="628"/>
      </w:pPr>
      <w:r>
        <w:rPr>
          <w:spacing w:val="-3"/>
        </w:rPr>
        <w:t>（一）对违反本细则的教职工、博士后流动站研究人员、访</w:t>
      </w:r>
      <w:r>
        <w:rPr>
          <w:spacing w:val="-16"/>
          <w:w w:val="95"/>
        </w:rPr>
        <w:t>问学者、进修教师和兼职人员等，应视情节轻重，给予下列处理， </w:t>
      </w:r>
      <w:r>
        <w:rPr>
          <w:spacing w:val="-5"/>
        </w:rPr>
        <w:t>处罚方式可以单处或并处：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405" w:lineRule="exact" w:before="0" w:after="0"/>
        <w:ind w:left="1136" w:right="0" w:hanging="320"/>
        <w:jc w:val="left"/>
        <w:rPr>
          <w:sz w:val="32"/>
        </w:rPr>
      </w:pPr>
      <w:r>
        <w:rPr>
          <w:spacing w:val="-4"/>
          <w:sz w:val="32"/>
        </w:rPr>
        <w:t>通报批评；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240" w:lineRule="auto" w:before="145" w:after="0"/>
        <w:ind w:left="1136" w:right="0" w:hanging="320"/>
        <w:jc w:val="left"/>
        <w:rPr>
          <w:sz w:val="32"/>
        </w:rPr>
      </w:pPr>
      <w:r>
        <w:rPr>
          <w:spacing w:val="-17"/>
          <w:sz w:val="32"/>
        </w:rPr>
        <w:t>终止或撤销相关科研项目，并在一定期限内取消申请资格；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240" w:lineRule="auto" w:before="151" w:after="0"/>
        <w:ind w:left="1136" w:right="0" w:hanging="320"/>
        <w:jc w:val="left"/>
        <w:rPr>
          <w:sz w:val="32"/>
        </w:rPr>
      </w:pPr>
      <w:r>
        <w:rPr>
          <w:spacing w:val="-5"/>
          <w:w w:val="95"/>
          <w:sz w:val="32"/>
        </w:rPr>
        <w:t>撤销学术奖励或者荣誉称号；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240" w:lineRule="auto" w:before="149" w:after="0"/>
        <w:ind w:left="1136" w:right="0" w:hanging="320"/>
        <w:jc w:val="left"/>
        <w:rPr>
          <w:sz w:val="32"/>
        </w:rPr>
      </w:pPr>
      <w:r>
        <w:rPr>
          <w:spacing w:val="-5"/>
          <w:w w:val="95"/>
          <w:sz w:val="32"/>
        </w:rPr>
        <w:t>暂缓晋升专业技术职务资格；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240" w:lineRule="auto" w:before="150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降低专业技术职务等级，撤消专业技术职务资格；</w:t>
      </w:r>
    </w:p>
    <w:p>
      <w:pPr>
        <w:pStyle w:val="ListParagraph"/>
        <w:numPr>
          <w:ilvl w:val="0"/>
          <w:numId w:val="2"/>
        </w:numPr>
        <w:tabs>
          <w:tab w:pos="1137" w:val="left" w:leader="none"/>
        </w:tabs>
        <w:spacing w:line="240" w:lineRule="auto" w:before="151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辞退或解聘。</w:t>
      </w:r>
    </w:p>
    <w:p>
      <w:pPr>
        <w:pStyle w:val="BodyText"/>
        <w:spacing w:line="326" w:lineRule="auto" w:before="149"/>
        <w:ind w:right="265" w:firstLine="628"/>
      </w:pPr>
      <w:r>
        <w:rPr>
          <w:spacing w:val="-3"/>
          <w:w w:val="95"/>
        </w:rPr>
        <w:t>同时，可以依照有关规定，给予学术不端行为责任人警告、 </w:t>
      </w:r>
      <w:r>
        <w:rPr>
          <w:spacing w:val="-5"/>
        </w:rPr>
        <w:t>记过、降低岗位等级或者撤职、开除等处分。</w:t>
      </w:r>
    </w:p>
    <w:p>
      <w:pPr>
        <w:pStyle w:val="BodyText"/>
        <w:spacing w:line="326" w:lineRule="auto" w:before="6"/>
        <w:ind w:right="110" w:firstLine="628"/>
      </w:pPr>
      <w:r>
        <w:rPr>
          <w:spacing w:val="-3"/>
          <w:w w:val="95"/>
        </w:rPr>
        <w:t>（二</w:t>
      </w:r>
      <w:r>
        <w:rPr>
          <w:spacing w:val="-55"/>
          <w:w w:val="95"/>
        </w:rPr>
        <w:t>）</w:t>
      </w:r>
      <w:r>
        <w:rPr>
          <w:spacing w:val="-12"/>
          <w:w w:val="95"/>
        </w:rPr>
        <w:t>对违反本细则的学生，应视情节轻重，给予下列处理， </w:t>
      </w:r>
      <w:r>
        <w:rPr>
          <w:spacing w:val="-5"/>
        </w:rPr>
        <w:t>处罚方式可以单处或并处：</w:t>
      </w:r>
    </w:p>
    <w:p>
      <w:pPr>
        <w:pStyle w:val="ListParagraph"/>
        <w:numPr>
          <w:ilvl w:val="0"/>
          <w:numId w:val="3"/>
        </w:numPr>
        <w:tabs>
          <w:tab w:pos="1137" w:val="left" w:leader="none"/>
        </w:tabs>
        <w:spacing w:line="240" w:lineRule="auto" w:before="3" w:after="0"/>
        <w:ind w:left="1136" w:right="0" w:hanging="320"/>
        <w:jc w:val="left"/>
        <w:rPr>
          <w:sz w:val="32"/>
        </w:rPr>
      </w:pPr>
      <w:r>
        <w:rPr>
          <w:spacing w:val="-4"/>
          <w:sz w:val="32"/>
        </w:rPr>
        <w:t>通报批评；</w:t>
      </w:r>
    </w:p>
    <w:p>
      <w:pPr>
        <w:pStyle w:val="ListParagraph"/>
        <w:numPr>
          <w:ilvl w:val="0"/>
          <w:numId w:val="3"/>
        </w:numPr>
        <w:tabs>
          <w:tab w:pos="1137" w:val="left" w:leader="none"/>
        </w:tabs>
        <w:spacing w:line="240" w:lineRule="auto" w:before="152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暂缓学位论文答辩；</w:t>
      </w:r>
    </w:p>
    <w:p>
      <w:pPr>
        <w:pStyle w:val="ListParagraph"/>
        <w:numPr>
          <w:ilvl w:val="0"/>
          <w:numId w:val="3"/>
        </w:numPr>
        <w:tabs>
          <w:tab w:pos="1137" w:val="left" w:leader="none"/>
        </w:tabs>
        <w:spacing w:line="240" w:lineRule="auto" w:before="149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取消学位论文答辩资格；</w:t>
      </w:r>
    </w:p>
    <w:p>
      <w:pPr>
        <w:pStyle w:val="ListParagraph"/>
        <w:numPr>
          <w:ilvl w:val="0"/>
          <w:numId w:val="3"/>
        </w:numPr>
        <w:tabs>
          <w:tab w:pos="1137" w:val="left" w:leader="none"/>
        </w:tabs>
        <w:spacing w:line="240" w:lineRule="auto" w:before="149" w:after="0"/>
        <w:ind w:left="1136" w:right="0" w:hanging="320"/>
        <w:jc w:val="left"/>
        <w:rPr>
          <w:sz w:val="32"/>
        </w:rPr>
      </w:pPr>
      <w:r>
        <w:rPr>
          <w:spacing w:val="-5"/>
          <w:sz w:val="32"/>
        </w:rPr>
        <w:t>暂缓授予学位、不授予学位或者依法撤销学位。</w:t>
      </w:r>
    </w:p>
    <w:p>
      <w:pPr>
        <w:pStyle w:val="BodyText"/>
        <w:spacing w:before="152"/>
        <w:ind w:left="817"/>
      </w:pPr>
      <w:r>
        <w:rPr/>
        <w:t>学生有学术不端行为的，还应当按照学生管理的相关规定，</w:t>
      </w:r>
    </w:p>
    <w:p>
      <w:pPr>
        <w:spacing w:after="0"/>
        <w:sectPr>
          <w:footerReference w:type="default" r:id="rId13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BodyText"/>
        <w:spacing w:before="54"/>
      </w:pPr>
      <w:r>
        <w:rPr/>
        <w:t>给予相应的学籍处分。</w:t>
      </w:r>
    </w:p>
    <w:p>
      <w:pPr>
        <w:pStyle w:val="BodyText"/>
        <w:spacing w:line="326" w:lineRule="auto" w:before="150"/>
        <w:ind w:right="265" w:firstLine="628"/>
      </w:pPr>
      <w:r>
        <w:rPr>
          <w:spacing w:val="-3"/>
          <w:w w:val="95"/>
        </w:rPr>
        <w:t>(三)指导教师对被认定违反本细则的研究生学位论文有过错 </w:t>
      </w:r>
      <w:r>
        <w:rPr>
          <w:spacing w:val="-5"/>
        </w:rPr>
        <w:t>的，应根据情节轻重，给予下列处理，处罚方式可单处或并处：</w:t>
      </w:r>
    </w:p>
    <w:p>
      <w:pPr>
        <w:pStyle w:val="ListParagraph"/>
        <w:numPr>
          <w:ilvl w:val="0"/>
          <w:numId w:val="4"/>
        </w:numPr>
        <w:tabs>
          <w:tab w:pos="1137" w:val="left" w:leader="none"/>
        </w:tabs>
        <w:spacing w:line="240" w:lineRule="auto" w:before="5" w:after="0"/>
        <w:ind w:left="1136" w:right="0" w:hanging="320"/>
        <w:jc w:val="left"/>
        <w:rPr>
          <w:sz w:val="32"/>
        </w:rPr>
      </w:pPr>
      <w:r>
        <w:rPr>
          <w:spacing w:val="-4"/>
          <w:sz w:val="32"/>
        </w:rPr>
        <w:t>通报批评；</w:t>
      </w:r>
    </w:p>
    <w:p>
      <w:pPr>
        <w:pStyle w:val="ListParagraph"/>
        <w:numPr>
          <w:ilvl w:val="0"/>
          <w:numId w:val="4"/>
        </w:numPr>
        <w:tabs>
          <w:tab w:pos="1137" w:val="left" w:leader="none"/>
        </w:tabs>
        <w:spacing w:line="240" w:lineRule="auto" w:before="149" w:after="0"/>
        <w:ind w:left="1136" w:right="0" w:hanging="320"/>
        <w:jc w:val="left"/>
        <w:rPr>
          <w:sz w:val="32"/>
        </w:rPr>
      </w:pPr>
      <w:r>
        <w:rPr>
          <w:spacing w:val="-5"/>
          <w:w w:val="95"/>
          <w:sz w:val="32"/>
        </w:rPr>
        <w:t>暂停研究生指导教师资格；</w:t>
      </w:r>
    </w:p>
    <w:p>
      <w:pPr>
        <w:pStyle w:val="ListParagraph"/>
        <w:numPr>
          <w:ilvl w:val="0"/>
          <w:numId w:val="4"/>
        </w:numPr>
        <w:tabs>
          <w:tab w:pos="1137" w:val="left" w:leader="none"/>
        </w:tabs>
        <w:spacing w:line="240" w:lineRule="auto" w:before="150" w:after="0"/>
        <w:ind w:left="1136" w:right="0" w:hanging="320"/>
        <w:jc w:val="left"/>
        <w:rPr>
          <w:sz w:val="32"/>
        </w:rPr>
      </w:pPr>
      <w:r>
        <w:rPr>
          <w:spacing w:val="-5"/>
          <w:w w:val="95"/>
          <w:sz w:val="32"/>
        </w:rPr>
        <w:t>取消研究生指导教师资格。</w:t>
      </w:r>
    </w:p>
    <w:p>
      <w:pPr>
        <w:pStyle w:val="BodyText"/>
        <w:spacing w:line="326" w:lineRule="auto" w:before="151"/>
        <w:ind w:right="265" w:firstLine="628"/>
      </w:pPr>
      <w:r>
        <w:rPr>
          <w:spacing w:val="-3"/>
          <w:w w:val="95"/>
        </w:rPr>
        <w:t>同时，可以依照有关规定，给予警告、记过、降级、撤职、 </w:t>
      </w:r>
      <w:r>
        <w:rPr>
          <w:spacing w:val="-5"/>
        </w:rPr>
        <w:t>开除等纪律处分。</w:t>
      </w:r>
    </w:p>
    <w:p>
      <w:pPr>
        <w:pStyle w:val="BodyText"/>
        <w:spacing w:line="328" w:lineRule="auto" w:before="3"/>
        <w:ind w:right="265" w:firstLine="628"/>
      </w:pPr>
      <w:r>
        <w:rPr>
          <w:spacing w:val="-3"/>
          <w:w w:val="95"/>
        </w:rPr>
        <w:t>（四）对于学术不端行为者构成违法犯罪的，移送司法机关 </w:t>
      </w:r>
      <w:r>
        <w:rPr>
          <w:spacing w:val="-3"/>
        </w:rPr>
        <w:t>处理。</w:t>
      </w:r>
    </w:p>
    <w:p>
      <w:pPr>
        <w:spacing w:line="485" w:lineRule="exact" w:before="0"/>
        <w:ind w:left="817" w:right="0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第二十三条 </w:t>
      </w:r>
      <w:r>
        <w:rPr>
          <w:sz w:val="32"/>
        </w:rPr>
        <w:t>根据学术不端行为情节以及被处理人的过错程</w:t>
      </w:r>
    </w:p>
    <w:p>
      <w:pPr>
        <w:pStyle w:val="BodyText"/>
        <w:spacing w:before="72"/>
      </w:pPr>
      <w:r>
        <w:rPr/>
        <w:t>度，给予相应处理。</w:t>
      </w:r>
    </w:p>
    <w:p>
      <w:pPr>
        <w:pStyle w:val="BodyText"/>
        <w:spacing w:before="152"/>
        <w:ind w:left="820"/>
      </w:pPr>
      <w:r>
        <w:rPr/>
        <w:t>有下列情形之一的，从轻或减轻处理：</w:t>
      </w:r>
    </w:p>
    <w:p>
      <w:pPr>
        <w:pStyle w:val="BodyText"/>
        <w:spacing w:before="149"/>
        <w:ind w:left="817"/>
      </w:pPr>
      <w:r>
        <w:rPr/>
        <w:t>（一）过失且未造成重大影响的；</w:t>
      </w:r>
    </w:p>
    <w:p>
      <w:pPr>
        <w:pStyle w:val="BodyText"/>
        <w:spacing w:before="149"/>
        <w:ind w:left="817"/>
      </w:pPr>
      <w:r>
        <w:rPr/>
        <w:t>（二）主动承认错误并积极配合调查的；</w:t>
      </w:r>
    </w:p>
    <w:p>
      <w:pPr>
        <w:pStyle w:val="BodyText"/>
        <w:spacing w:line="326" w:lineRule="auto" w:before="152"/>
        <w:ind w:left="896" w:right="1553" w:hanging="80"/>
      </w:pPr>
      <w:r>
        <w:rPr>
          <w:spacing w:val="-3"/>
          <w:w w:val="95"/>
        </w:rPr>
        <w:t>（</w:t>
      </w:r>
      <w:r>
        <w:rPr>
          <w:spacing w:val="-5"/>
          <w:w w:val="95"/>
        </w:rPr>
        <w:t>三</w:t>
      </w:r>
      <w:r>
        <w:rPr>
          <w:spacing w:val="-3"/>
          <w:w w:val="95"/>
        </w:rPr>
        <w:t>）</w:t>
      </w:r>
      <w:r>
        <w:rPr>
          <w:spacing w:val="-5"/>
          <w:w w:val="95"/>
        </w:rPr>
        <w:t>主动挽回损失或有效阻止危害结果发生的。 </w:t>
      </w:r>
      <w:r>
        <w:rPr>
          <w:spacing w:val="-5"/>
        </w:rPr>
        <w:t>有下列情形之一的，从重或加重处理：</w:t>
      </w:r>
    </w:p>
    <w:p>
      <w:pPr>
        <w:pStyle w:val="BodyText"/>
        <w:spacing w:before="3"/>
        <w:ind w:left="817"/>
      </w:pPr>
      <w:r>
        <w:rPr/>
        <w:t>（一）伪造、销毁、藏匿证据的；</w:t>
      </w:r>
    </w:p>
    <w:p>
      <w:pPr>
        <w:pStyle w:val="BodyText"/>
        <w:spacing w:before="151"/>
        <w:ind w:left="817"/>
      </w:pPr>
      <w:r>
        <w:rPr/>
        <w:t>（二）阻止他人举报或提供证据的；</w:t>
      </w:r>
    </w:p>
    <w:p>
      <w:pPr>
        <w:pStyle w:val="BodyText"/>
        <w:spacing w:before="150"/>
        <w:ind w:left="817"/>
      </w:pPr>
      <w:r>
        <w:rPr/>
        <w:t>（三）干扰、妨碍调查处理的；</w:t>
      </w:r>
    </w:p>
    <w:p>
      <w:pPr>
        <w:pStyle w:val="BodyText"/>
        <w:spacing w:before="149"/>
        <w:ind w:left="817"/>
      </w:pPr>
      <w:r>
        <w:rPr/>
        <w:t>（四）打击、报复举报人的；</w:t>
      </w:r>
    </w:p>
    <w:p>
      <w:pPr>
        <w:pStyle w:val="BodyText"/>
        <w:spacing w:before="151"/>
        <w:ind w:left="817"/>
      </w:pPr>
      <w:r>
        <w:rPr/>
        <w:t>（五）有其他恶劣影响行为的。</w:t>
      </w:r>
    </w:p>
    <w:p>
      <w:pPr>
        <w:spacing w:after="0"/>
        <w:sectPr>
          <w:footerReference w:type="default" r:id="rId14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spacing w:line="542" w:lineRule="exact" w:before="0"/>
        <w:ind w:left="817" w:right="0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第二十四条 </w:t>
      </w:r>
      <w:r>
        <w:rPr>
          <w:sz w:val="32"/>
        </w:rPr>
        <w:t>学校对学术不端行为作出处理决定，应当制作处</w:t>
      </w:r>
    </w:p>
    <w:p>
      <w:pPr>
        <w:pStyle w:val="BodyText"/>
        <w:spacing w:before="71"/>
      </w:pPr>
      <w:r>
        <w:rPr/>
        <w:t>理决定书，载明以下内容：</w:t>
      </w:r>
    </w:p>
    <w:p>
      <w:pPr>
        <w:pStyle w:val="BodyText"/>
        <w:spacing w:before="150"/>
        <w:ind w:left="817"/>
      </w:pPr>
      <w:r>
        <w:rPr/>
        <w:t>（一）责任人的基本情况；</w:t>
      </w:r>
    </w:p>
    <w:p>
      <w:pPr>
        <w:pStyle w:val="BodyText"/>
        <w:spacing w:before="151"/>
        <w:ind w:left="817"/>
      </w:pPr>
      <w:r>
        <w:rPr/>
        <w:t>（二）经查证的事实和证据；</w:t>
      </w:r>
    </w:p>
    <w:p>
      <w:pPr>
        <w:pStyle w:val="BodyText"/>
        <w:spacing w:before="149"/>
        <w:ind w:left="817"/>
      </w:pPr>
      <w:r>
        <w:rPr>
          <w:spacing w:val="-3"/>
          <w:w w:val="95"/>
        </w:rPr>
        <w:t>（</w:t>
      </w:r>
      <w:r>
        <w:rPr>
          <w:spacing w:val="-5"/>
          <w:w w:val="95"/>
        </w:rPr>
        <w:t>三</w:t>
      </w:r>
      <w:r>
        <w:rPr>
          <w:spacing w:val="-3"/>
          <w:w w:val="95"/>
        </w:rPr>
        <w:t>）</w:t>
      </w:r>
      <w:r>
        <w:rPr>
          <w:spacing w:val="-5"/>
          <w:w w:val="95"/>
        </w:rPr>
        <w:t>处理意见和依据；</w:t>
      </w:r>
    </w:p>
    <w:p>
      <w:pPr>
        <w:pStyle w:val="BodyText"/>
        <w:spacing w:before="150"/>
        <w:ind w:left="817"/>
      </w:pPr>
      <w:r>
        <w:rPr>
          <w:spacing w:val="-3"/>
          <w:w w:val="95"/>
        </w:rPr>
        <w:t>（</w:t>
      </w:r>
      <w:r>
        <w:rPr>
          <w:spacing w:val="-5"/>
          <w:w w:val="95"/>
        </w:rPr>
        <w:t>四</w:t>
      </w:r>
      <w:r>
        <w:rPr>
          <w:spacing w:val="-3"/>
          <w:w w:val="95"/>
        </w:rPr>
        <w:t>）</w:t>
      </w:r>
      <w:r>
        <w:rPr>
          <w:spacing w:val="-5"/>
          <w:w w:val="95"/>
        </w:rPr>
        <w:t>申诉途径和期限。</w:t>
      </w:r>
    </w:p>
    <w:p>
      <w:pPr>
        <w:pStyle w:val="BodyText"/>
        <w:spacing w:line="560" w:lineRule="exact" w:before="23"/>
        <w:ind w:right="262" w:firstLine="628"/>
        <w:jc w:val="both"/>
      </w:pPr>
      <w:r>
        <w:rPr>
          <w:rFonts w:ascii="微软雅黑" w:eastAsia="微软雅黑" w:hint="eastAsia"/>
          <w:b/>
          <w:spacing w:val="24"/>
        </w:rPr>
        <w:t>第二十五条 </w:t>
      </w:r>
      <w:r>
        <w:rPr>
          <w:spacing w:val="16"/>
        </w:rPr>
        <w:t>处理决定应由相关职能部门书面送达被处理</w:t>
      </w:r>
      <w:r>
        <w:rPr>
          <w:spacing w:val="-3"/>
          <w:w w:val="95"/>
        </w:rPr>
        <w:t>人，并在全校范围内公开，同时报上级主管部门。被处理人对处 理决定有异议的，可向有关部门提出申诉，申诉期内不停止处理</w:t>
      </w:r>
    </w:p>
    <w:p>
      <w:pPr>
        <w:pStyle w:val="BodyText"/>
        <w:spacing w:before="128"/>
      </w:pPr>
      <w:r>
        <w:rPr/>
        <w:t>决定的执行。</w:t>
      </w:r>
    </w:p>
    <w:p>
      <w:pPr>
        <w:pStyle w:val="BodyText"/>
        <w:spacing w:line="268" w:lineRule="auto" w:before="47"/>
        <w:ind w:right="262" w:firstLine="628"/>
      </w:pPr>
      <w:r>
        <w:rPr>
          <w:rFonts w:ascii="微软雅黑" w:eastAsia="微软雅黑" w:hint="eastAsia"/>
          <w:b/>
        </w:rPr>
        <w:t>第二十六条 </w:t>
      </w:r>
      <w:r>
        <w:rPr/>
        <w:t>处理决定书自送达当事人之日起生效。当事人</w:t>
      </w:r>
      <w:r>
        <w:rPr>
          <w:w w:val="95"/>
        </w:rPr>
        <w:t>拒绝签收或无法送达的，在学校网站或者有关媒体上公告处理决</w:t>
      </w:r>
    </w:p>
    <w:p>
      <w:pPr>
        <w:pStyle w:val="BodyText"/>
        <w:spacing w:before="103"/>
      </w:pPr>
      <w:r>
        <w:rPr/>
        <w:t>定书，公告期为 15 日，公告期届满视为送达。</w:t>
      </w:r>
    </w:p>
    <w:p>
      <w:pPr>
        <w:pStyle w:val="BodyText"/>
        <w:spacing w:line="268" w:lineRule="auto" w:before="47"/>
        <w:ind w:right="130" w:firstLine="628"/>
      </w:pPr>
      <w:r>
        <w:rPr>
          <w:rFonts w:ascii="微软雅黑" w:eastAsia="微软雅黑" w:hint="eastAsia"/>
          <w:b/>
        </w:rPr>
        <w:t>第二十七条 </w:t>
      </w:r>
      <w:r>
        <w:rPr/>
        <w:t>经调查认定，不构成学术不端行为的，根据被</w:t>
      </w:r>
      <w:r>
        <w:rPr>
          <w:w w:val="95"/>
        </w:rPr>
        <w:t>举报人申请，学校应当通过一定方式为其消除影响、恢复名誉等。</w:t>
      </w:r>
    </w:p>
    <w:p>
      <w:pPr>
        <w:pStyle w:val="BodyText"/>
        <w:spacing w:line="326" w:lineRule="auto" w:before="104"/>
        <w:ind w:right="265" w:firstLine="628"/>
      </w:pPr>
      <w:r>
        <w:rPr>
          <w:spacing w:val="-3"/>
          <w:w w:val="95"/>
        </w:rPr>
        <w:t>调查处理过程中，对举报不实、指控不当的，学术道德委员 </w:t>
      </w:r>
      <w:r>
        <w:rPr>
          <w:spacing w:val="-5"/>
        </w:rPr>
        <w:t>会应当维护被举报人的人格尊严和合法权益，及时予以澄清。</w:t>
      </w:r>
    </w:p>
    <w:p>
      <w:pPr>
        <w:pStyle w:val="BodyText"/>
        <w:spacing w:line="328" w:lineRule="auto" w:before="3"/>
        <w:ind w:right="262" w:firstLine="628"/>
        <w:jc w:val="both"/>
      </w:pPr>
      <w:r>
        <w:rPr>
          <w:spacing w:val="-3"/>
          <w:w w:val="95"/>
        </w:rPr>
        <w:t>经调查确认举报人属于故意捏造事实、诬告他人的，对举报 人要视情节轻重给予批评教育或责令赔礼道歉或行政处分，直至 </w:t>
      </w:r>
      <w:r>
        <w:rPr>
          <w:spacing w:val="-5"/>
        </w:rPr>
        <w:t>由司法机关追究法律责任。</w:t>
      </w:r>
    </w:p>
    <w:p>
      <w:pPr>
        <w:spacing w:line="482" w:lineRule="exact" w:before="0"/>
        <w:ind w:left="817" w:right="0" w:firstLine="0"/>
        <w:jc w:val="both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第二十八条 </w:t>
      </w:r>
      <w:r>
        <w:rPr>
          <w:sz w:val="32"/>
        </w:rPr>
        <w:t>参与举报受理、调查和处理的人员违反保密等</w:t>
      </w:r>
    </w:p>
    <w:p>
      <w:pPr>
        <w:pStyle w:val="BodyText"/>
        <w:spacing w:before="74"/>
      </w:pPr>
      <w:r>
        <w:rPr/>
        <w:t>规定，造成不良影响的，按照有关规定给予处分或其他处理。</w:t>
      </w:r>
    </w:p>
    <w:p>
      <w:pPr>
        <w:spacing w:after="0"/>
        <w:sectPr>
          <w:footerReference w:type="default" r:id="rId15"/>
          <w:pgSz w:w="11910" w:h="16840"/>
          <w:pgMar w:footer="1124" w:header="0" w:top="1580" w:bottom="1320" w:left="1400" w:right="118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4"/>
        </w:rPr>
      </w:pPr>
    </w:p>
    <w:p>
      <w:pPr>
        <w:pStyle w:val="Heading2"/>
        <w:spacing w:line="527" w:lineRule="exact"/>
        <w:ind w:left="622" w:right="254"/>
      </w:pPr>
      <w:r>
        <w:rPr/>
        <w:t>第五章 申诉与复查</w:t>
      </w:r>
    </w:p>
    <w:p>
      <w:pPr>
        <w:spacing w:line="575" w:lineRule="exact" w:before="0"/>
        <w:ind w:left="817" w:right="0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第二十九条 </w:t>
      </w:r>
      <w:r>
        <w:rPr>
          <w:sz w:val="32"/>
        </w:rPr>
        <w:t>举报人或被举报人对处理决定不服的，可以在</w:t>
      </w:r>
    </w:p>
    <w:p>
      <w:pPr>
        <w:pStyle w:val="BodyText"/>
        <w:spacing w:line="328" w:lineRule="auto" w:before="71"/>
        <w:ind w:right="447"/>
      </w:pPr>
      <w:r>
        <w:rPr>
          <w:spacing w:val="-17"/>
        </w:rPr>
        <w:t>收到处理决定后 </w:t>
      </w:r>
      <w:r>
        <w:rPr/>
        <w:t>30</w:t>
      </w:r>
      <w:r>
        <w:rPr>
          <w:spacing w:val="-14"/>
        </w:rPr>
        <w:t> 日内，以书面形式向学校提出异议或申诉。</w:t>
      </w:r>
      <w:r>
        <w:rPr>
          <w:spacing w:val="-5"/>
        </w:rPr>
        <w:t>异议和申诉不影响处理决定的执行。</w:t>
      </w:r>
    </w:p>
    <w:p>
      <w:pPr>
        <w:pStyle w:val="BodyText"/>
        <w:spacing w:line="485" w:lineRule="exact"/>
        <w:ind w:left="817"/>
      </w:pPr>
      <w:r>
        <w:rPr>
          <w:rFonts w:ascii="微软雅黑" w:eastAsia="微软雅黑" w:hint="eastAsia"/>
          <w:b/>
        </w:rPr>
        <w:t>第三十条 </w:t>
      </w:r>
      <w:r>
        <w:rPr/>
        <w:t>学校收到异议或申诉后，应当交由学术道德委员</w:t>
      </w:r>
    </w:p>
    <w:p>
      <w:pPr>
        <w:pStyle w:val="BodyText"/>
        <w:spacing w:before="72"/>
      </w:pPr>
      <w:r>
        <w:rPr/>
        <w:t>会组织讨论，并于 15 日内作出是否复核的决定。</w:t>
      </w:r>
    </w:p>
    <w:p>
      <w:pPr>
        <w:pStyle w:val="BodyText"/>
        <w:spacing w:line="326" w:lineRule="auto" w:before="152"/>
        <w:ind w:right="106" w:firstLine="628"/>
      </w:pPr>
      <w:r>
        <w:rPr>
          <w:spacing w:val="-17"/>
          <w:w w:val="95"/>
        </w:rPr>
        <w:t>决定复核的，学术道德委员会可以另行组织调查组进行调查； </w:t>
      </w:r>
      <w:r>
        <w:rPr>
          <w:spacing w:val="-5"/>
        </w:rPr>
        <w:t>决定不予复核的，应当书面通知异议人或申诉人。</w:t>
      </w:r>
    </w:p>
    <w:p>
      <w:pPr>
        <w:spacing w:line="491" w:lineRule="exact" w:before="0"/>
        <w:ind w:left="817" w:right="0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第三十一条 </w:t>
      </w:r>
      <w:r>
        <w:rPr>
          <w:sz w:val="32"/>
        </w:rPr>
        <w:t>异议人或申诉人对复核决定不服，仍以同一事</w:t>
      </w:r>
    </w:p>
    <w:p>
      <w:pPr>
        <w:pStyle w:val="BodyText"/>
        <w:spacing w:before="74"/>
      </w:pPr>
      <w:r>
        <w:rPr/>
        <w:t>实和理由提出异议的，不予受理。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Heading2"/>
        <w:ind w:left="615"/>
      </w:pPr>
      <w:r>
        <w:rPr/>
        <w:t>第六章 附则</w:t>
      </w:r>
    </w:p>
    <w:p>
      <w:pPr>
        <w:spacing w:line="228" w:lineRule="auto" w:before="6"/>
        <w:ind w:left="817" w:right="1342" w:firstLine="0"/>
        <w:jc w:val="left"/>
        <w:rPr>
          <w:sz w:val="32"/>
        </w:rPr>
      </w:pPr>
      <w:r>
        <w:rPr>
          <w:rFonts w:ascii="微软雅黑" w:eastAsia="微软雅黑" w:hint="eastAsia"/>
          <w:b/>
          <w:sz w:val="32"/>
        </w:rPr>
        <w:t>第三十二条 </w:t>
      </w:r>
      <w:r>
        <w:rPr>
          <w:sz w:val="32"/>
        </w:rPr>
        <w:t>本实施细则由校学术委员会负责解释。</w:t>
      </w:r>
      <w:r>
        <w:rPr>
          <w:rFonts w:ascii="微软雅黑" w:eastAsia="微软雅黑" w:hint="eastAsia"/>
          <w:b/>
          <w:sz w:val="32"/>
        </w:rPr>
        <w:t>第三十三条 </w:t>
      </w:r>
      <w:r>
        <w:rPr>
          <w:sz w:val="32"/>
        </w:rPr>
        <w:t>本实施细则自公布之日起施行。</w:t>
      </w:r>
    </w:p>
    <w:p>
      <w:pPr>
        <w:pStyle w:val="BodyText"/>
        <w:spacing w:line="326" w:lineRule="auto" w:before="81"/>
        <w:ind w:right="265" w:firstLine="628"/>
      </w:pPr>
      <w:r>
        <w:rPr>
          <w:spacing w:val="-3"/>
          <w:w w:val="95"/>
        </w:rPr>
        <w:t>学校此前发布的有关规章、文件中的相关规定与本细则不一 </w:t>
      </w:r>
      <w:r>
        <w:rPr>
          <w:spacing w:val="-5"/>
        </w:rPr>
        <w:t>致的，以本细则为准。</w:t>
      </w:r>
    </w:p>
    <w:sectPr>
      <w:footerReference w:type="default" r:id="rId16"/>
      <w:pgSz w:w="11910" w:h="16840"/>
      <w:pgMar w:footer="1124" w:header="0" w:top="1580" w:bottom="1320" w:left="140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  <w:font w:name="Arial Unicode MS">
    <w:altName w:val="Arial Unicode MS"/>
    <w:charset w:val="86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7.839996pt;margin-top:774.688904pt;width:25.3pt;height:17.6pt;mso-position-horizontal-relative:page;mso-position-vertical-relative:page;z-index:-252006400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１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4.799988pt;margin-top:774.688904pt;width:25.4pt;height:17.6pt;mso-position-horizontal-relative:page;mso-position-vertical-relative:page;z-index:-252005376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２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7.839996pt;margin-top:774.688904pt;width:25.3pt;height:17.6pt;mso-position-horizontal-relative:page;mso-position-vertical-relative:page;z-index:-252004352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３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4.799988pt;margin-top:774.688904pt;width:25.4pt;height:17.6pt;mso-position-horizontal-relative:page;mso-position-vertical-relative:page;z-index:-252003328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４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7.839996pt;margin-top:774.688904pt;width:25.3pt;height:17.6pt;mso-position-horizontal-relative:page;mso-position-vertical-relative:page;z-index:-252002304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５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4.799988pt;margin-top:774.688904pt;width:25.4pt;height:17.6pt;mso-position-horizontal-relative:page;mso-position-vertical-relative:page;z-index:-252001280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６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7.839996pt;margin-top:774.688904pt;width:25.3pt;height:17.6pt;mso-position-horizontal-relative:page;mso-position-vertical-relative:page;z-index:-252000256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７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4.799988pt;margin-top:774.688904pt;width:25.4pt;height:17.6pt;mso-position-horizontal-relative:page;mso-position-vertical-relative:page;z-index:-251999232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８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7.839996pt;margin-top:774.688904pt;width:25.3pt;height:17.6pt;mso-position-horizontal-relative:page;mso-position-vertical-relative:page;z-index:-251998208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９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7.839996pt;margin-top:774.688904pt;width:39.35pt;height:17.6pt;mso-position-horizontal-relative:page;mso-position-vertical-relative:page;z-index:-251997184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１０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80.880005pt;margin-top:774.688904pt;width:39.35pt;height:17.6pt;mso-position-horizontal-relative:page;mso-position-vertical-relative:page;z-index:-251996160" type="#_x0000_t202" filled="false" stroked="false">
          <v:textbox inset="0,0,0,0">
            <w:txbxContent>
              <w:p>
                <w:pPr>
                  <w:spacing w:line="349" w:lineRule="exact" w:before="0"/>
                  <w:ind w:left="20" w:right="0" w:firstLine="0"/>
                  <w:jc w:val="left"/>
                  <w:rPr>
                    <w:rFonts w:ascii="Times New Roman" w:eastAsia="Times New Roman"/>
                    <w:sz w:val="28"/>
                  </w:rPr>
                </w:pPr>
                <w:r>
                  <w:rPr>
                    <w:rFonts w:ascii="Times New Roman" w:eastAsia="Times New Roman"/>
                    <w:sz w:val="28"/>
                  </w:rPr>
                  <w:t>-</w:t>
                </w:r>
                <w:r>
                  <w:rPr>
                    <w:sz w:val="28"/>
                  </w:rPr>
                  <w:t>１１</w:t>
                </w:r>
                <w:r>
                  <w:rPr>
                    <w:rFonts w:ascii="Times New Roman" w:eastAsia="Times New Roman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36" w:hanging="319"/>
        <w:jc w:val="left"/>
      </w:pPr>
      <w:rPr>
        <w:rFonts w:hint="default" w:ascii="宋体" w:hAnsi="宋体" w:eastAsia="宋体" w:cs="宋体"/>
        <w:spacing w:val="-4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58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77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95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14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33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51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70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688" w:hanging="319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36" w:hanging="319"/>
        <w:jc w:val="left"/>
      </w:pPr>
      <w:rPr>
        <w:rFonts w:hint="default" w:ascii="宋体" w:hAnsi="宋体" w:eastAsia="宋体" w:cs="宋体"/>
        <w:spacing w:val="-4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58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77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95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14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33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51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70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688" w:hanging="31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36" w:hanging="319"/>
        <w:jc w:val="left"/>
      </w:pPr>
      <w:rPr>
        <w:rFonts w:hint="default" w:ascii="宋体" w:hAnsi="宋体" w:eastAsia="宋体" w:cs="宋体"/>
        <w:spacing w:val="-4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58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77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95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14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33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51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70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688" w:hanging="31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88" w:hanging="319"/>
        <w:jc w:val="left"/>
      </w:pPr>
      <w:rPr>
        <w:rFonts w:hint="default" w:ascii="宋体" w:hAnsi="宋体" w:eastAsia="宋体" w:cs="宋体"/>
        <w:spacing w:val="-2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94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09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23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38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53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67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82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96" w:hanging="319"/>
      </w:pPr>
      <w:rPr>
        <w:rFonts w:hint="default"/>
        <w:lang w:val="zh-CN" w:eastAsia="zh-CN" w:bidi="zh-CN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88"/>
    </w:pPr>
    <w:rPr>
      <w:rFonts w:ascii="宋体" w:hAnsi="宋体" w:eastAsia="宋体" w:cs="宋体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before="37"/>
      <w:ind w:left="622" w:right="550" w:hanging="2405"/>
      <w:outlineLvl w:val="1"/>
    </w:pPr>
    <w:rPr>
      <w:rFonts w:ascii="宋体" w:hAnsi="宋体" w:eastAsia="宋体" w:cs="宋体"/>
      <w:b/>
      <w:bCs/>
      <w:sz w:val="44"/>
      <w:szCs w:val="44"/>
      <w:lang w:val="zh-CN" w:eastAsia="zh-CN" w:bidi="zh-CN"/>
    </w:rPr>
  </w:style>
  <w:style w:styleId="Heading2" w:type="paragraph">
    <w:name w:val="Heading 2"/>
    <w:basedOn w:val="Normal"/>
    <w:uiPriority w:val="1"/>
    <w:qFormat/>
    <w:pPr>
      <w:spacing w:line="575" w:lineRule="exact"/>
      <w:ind w:left="617" w:right="717"/>
      <w:jc w:val="center"/>
      <w:outlineLvl w:val="2"/>
    </w:pPr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49"/>
      <w:ind w:left="1136" w:hanging="320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er" Target="footer4.xml"/><Relationship Id="rId10" Type="http://schemas.openxmlformats.org/officeDocument/2006/relationships/footer" Target="footer5.xml"/><Relationship Id="rId11" Type="http://schemas.openxmlformats.org/officeDocument/2006/relationships/footer" Target="footer6.xml"/><Relationship Id="rId12" Type="http://schemas.openxmlformats.org/officeDocument/2006/relationships/footer" Target="footer7.xml"/><Relationship Id="rId13" Type="http://schemas.openxmlformats.org/officeDocument/2006/relationships/footer" Target="footer8.xml"/><Relationship Id="rId14" Type="http://schemas.openxmlformats.org/officeDocument/2006/relationships/footer" Target="footer9.xml"/><Relationship Id="rId15" Type="http://schemas.openxmlformats.org/officeDocument/2006/relationships/footer" Target="footer10.xml"/><Relationship Id="rId16" Type="http://schemas.openxmlformats.org/officeDocument/2006/relationships/footer" Target="footer11.xml"/><Relationship Id="rId1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麻利旺</dc:creator>
  <dcterms:created xsi:type="dcterms:W3CDTF">2022-06-30T08:55:59Z</dcterms:created>
  <dcterms:modified xsi:type="dcterms:W3CDTF">2022-06-30T08:55:59Z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2022-06-30T00:00:00Z</vt:filetime>
  </property>
</Properties>
</file>